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6BA" w:rsidRPr="004736BA" w:rsidRDefault="004736BA" w:rsidP="004736BA">
      <w:pPr>
        <w:pStyle w:val="EnvelopeReturn"/>
        <w:rPr>
          <w:rFonts w:ascii="Times New Roman" w:hAnsi="Times New Roman" w:cs="Times New Roman"/>
          <w:sz w:val="24"/>
          <w:szCs w:val="24"/>
        </w:rPr>
      </w:pPr>
      <w:r w:rsidRPr="004736BA">
        <w:rPr>
          <w:rFonts w:ascii="Times New Roman" w:hAnsi="Times New Roman" w:cs="Times New Roman"/>
          <w:sz w:val="24"/>
          <w:szCs w:val="24"/>
        </w:rPr>
        <w:t>Mr. Kenneth D. Thomas # 262443</w:t>
      </w:r>
    </w:p>
    <w:p w:rsidR="004736BA" w:rsidRPr="004736BA" w:rsidRDefault="004736BA" w:rsidP="004736BA">
      <w:pPr>
        <w:pStyle w:val="EnvelopeReturn"/>
        <w:rPr>
          <w:rFonts w:ascii="Times New Roman" w:hAnsi="Times New Roman" w:cs="Times New Roman"/>
          <w:sz w:val="24"/>
          <w:szCs w:val="24"/>
        </w:rPr>
      </w:pPr>
      <w:r w:rsidRPr="004736BA">
        <w:rPr>
          <w:rFonts w:ascii="Times New Roman" w:hAnsi="Times New Roman" w:cs="Times New Roman"/>
          <w:sz w:val="24"/>
          <w:szCs w:val="24"/>
        </w:rPr>
        <w:t>Riverbend Maximum Security Institution</w:t>
      </w:r>
    </w:p>
    <w:p w:rsidR="004736BA" w:rsidRPr="004736BA" w:rsidRDefault="004736BA" w:rsidP="004736BA">
      <w:pPr>
        <w:pStyle w:val="EnvelopeReturn"/>
        <w:rPr>
          <w:rFonts w:ascii="Times New Roman" w:hAnsi="Times New Roman" w:cs="Times New Roman"/>
          <w:sz w:val="24"/>
          <w:szCs w:val="24"/>
        </w:rPr>
      </w:pPr>
      <w:r w:rsidRPr="004736BA">
        <w:rPr>
          <w:rFonts w:ascii="Times New Roman" w:hAnsi="Times New Roman" w:cs="Times New Roman"/>
          <w:sz w:val="24"/>
          <w:szCs w:val="24"/>
        </w:rPr>
        <w:t>7475 Cockrill Bend Blvd.</w:t>
      </w:r>
    </w:p>
    <w:p w:rsidR="004736BA" w:rsidRPr="004736BA" w:rsidRDefault="004736BA" w:rsidP="004736BA">
      <w:pPr>
        <w:pStyle w:val="EnvelopeReturn"/>
        <w:rPr>
          <w:rFonts w:ascii="Times New Roman" w:hAnsi="Times New Roman" w:cs="Times New Roman"/>
          <w:sz w:val="24"/>
          <w:szCs w:val="24"/>
        </w:rPr>
      </w:pPr>
      <w:r w:rsidRPr="004736BA">
        <w:rPr>
          <w:rFonts w:ascii="Times New Roman" w:hAnsi="Times New Roman" w:cs="Times New Roman"/>
          <w:sz w:val="24"/>
          <w:szCs w:val="24"/>
        </w:rPr>
        <w:t>Nashville, TN 37209</w:t>
      </w:r>
    </w:p>
    <w:p w:rsidR="004736BA" w:rsidRDefault="004736BA" w:rsidP="004736BA">
      <w:pPr>
        <w:pStyle w:val="EnvelopeReturn"/>
      </w:pPr>
    </w:p>
    <w:p w:rsidR="004736BA" w:rsidRPr="004736BA" w:rsidRDefault="004736BA" w:rsidP="004736BA">
      <w:pPr>
        <w:pStyle w:val="EnvelopeReturn"/>
        <w:rPr>
          <w:rFonts w:ascii="Arial Black" w:hAnsi="Arial Black"/>
          <w:sz w:val="24"/>
          <w:szCs w:val="24"/>
        </w:rPr>
      </w:pPr>
      <w:r w:rsidRPr="004736BA">
        <w:rPr>
          <w:rFonts w:ascii="Arial Black" w:hAnsi="Arial Black"/>
          <w:sz w:val="24"/>
          <w:szCs w:val="24"/>
        </w:rPr>
        <w:t>LEGAL MAIL</w:t>
      </w:r>
    </w:p>
    <w:p w:rsidR="004736BA" w:rsidRPr="004736BA" w:rsidRDefault="004736BA" w:rsidP="004736BA">
      <w:pPr>
        <w:pStyle w:val="EnvelopeAddress"/>
        <w:framePr w:w="9355" w:wrap="auto" w:vAnchor="page" w:x="3118" w:y="3090"/>
        <w:rPr>
          <w:rFonts w:ascii="Times New Roman" w:hAnsi="Times New Roman" w:cs="Times New Roman"/>
          <w:sz w:val="28"/>
          <w:szCs w:val="28"/>
        </w:rPr>
      </w:pPr>
      <w:r w:rsidRPr="004736BA">
        <w:rPr>
          <w:rFonts w:ascii="Times New Roman" w:hAnsi="Times New Roman" w:cs="Times New Roman"/>
          <w:sz w:val="28"/>
          <w:szCs w:val="28"/>
        </w:rPr>
        <w:t>Mandy Shoemaker, Chief Deputy Clerk</w:t>
      </w:r>
    </w:p>
    <w:p w:rsidR="004736BA" w:rsidRPr="004736BA" w:rsidRDefault="004736BA" w:rsidP="004736BA">
      <w:pPr>
        <w:pStyle w:val="EnvelopeAddress"/>
        <w:framePr w:w="9355" w:wrap="auto" w:vAnchor="page" w:x="3118" w:y="3090"/>
        <w:rPr>
          <w:rFonts w:ascii="Times New Roman" w:hAnsi="Times New Roman" w:cs="Times New Roman"/>
          <w:sz w:val="28"/>
          <w:szCs w:val="28"/>
        </w:rPr>
      </w:pPr>
      <w:r w:rsidRPr="004736BA">
        <w:rPr>
          <w:rFonts w:ascii="Times New Roman" w:hAnsi="Times New Roman" w:cs="Times New Roman"/>
          <w:sz w:val="28"/>
          <w:szCs w:val="28"/>
        </w:rPr>
        <w:t>United  States Court of Appeals for the Sixth Circuit</w:t>
      </w:r>
    </w:p>
    <w:p w:rsidR="004736BA" w:rsidRPr="004736BA" w:rsidRDefault="004736BA" w:rsidP="004736BA">
      <w:pPr>
        <w:pStyle w:val="EnvelopeAddress"/>
        <w:framePr w:w="9355" w:wrap="auto" w:vAnchor="page" w:x="3118" w:y="3090"/>
        <w:rPr>
          <w:rFonts w:ascii="Times New Roman" w:hAnsi="Times New Roman" w:cs="Times New Roman"/>
          <w:sz w:val="28"/>
          <w:szCs w:val="28"/>
        </w:rPr>
      </w:pPr>
      <w:r w:rsidRPr="004736BA">
        <w:rPr>
          <w:rFonts w:ascii="Times New Roman" w:hAnsi="Times New Roman" w:cs="Times New Roman"/>
          <w:sz w:val="28"/>
          <w:szCs w:val="28"/>
        </w:rPr>
        <w:t>100 E. 5th St., 540 Potter Stewart US Courthouse</w:t>
      </w:r>
    </w:p>
    <w:p w:rsidR="004736BA" w:rsidRPr="004736BA" w:rsidRDefault="004736BA" w:rsidP="004736BA">
      <w:pPr>
        <w:pStyle w:val="EnvelopeAddress"/>
        <w:framePr w:w="9355" w:wrap="auto" w:vAnchor="page" w:x="3118" w:y="3090"/>
        <w:rPr>
          <w:rFonts w:ascii="Times New Roman" w:hAnsi="Times New Roman" w:cs="Times New Roman"/>
          <w:sz w:val="28"/>
          <w:szCs w:val="28"/>
        </w:rPr>
      </w:pPr>
      <w:r w:rsidRPr="004736BA">
        <w:rPr>
          <w:rFonts w:ascii="Times New Roman" w:hAnsi="Times New Roman" w:cs="Times New Roman"/>
          <w:sz w:val="28"/>
          <w:szCs w:val="28"/>
        </w:rPr>
        <w:t>Cincinnati, OH 45202-3988</w:t>
      </w:r>
    </w:p>
    <w:p w:rsidR="004736BA" w:rsidRDefault="004736BA" w:rsidP="004736BA">
      <w:pPr>
        <w:sectPr w:rsidR="004736BA">
          <w:pgSz w:w="13680" w:h="5940" w:orient="landscape"/>
          <w:pgMar w:top="360" w:right="720" w:bottom="720" w:left="576" w:header="720" w:footer="720" w:gutter="0"/>
          <w:paperSrc w:first="15"/>
          <w:pgNumType w:start="0"/>
          <w:cols w:space="720"/>
        </w:sectPr>
      </w:pPr>
    </w:p>
    <w:p w:rsidR="00DA2B4C" w:rsidRPr="009A4A2D" w:rsidRDefault="009F6D92" w:rsidP="009F6D92">
      <w:pPr>
        <w:jc w:val="center"/>
        <w:rPr>
          <w:b/>
          <w:sz w:val="24"/>
          <w:szCs w:val="24"/>
        </w:rPr>
      </w:pPr>
      <w:r w:rsidRPr="009A4A2D">
        <w:rPr>
          <w:b/>
          <w:sz w:val="24"/>
          <w:szCs w:val="24"/>
        </w:rPr>
        <w:lastRenderedPageBreak/>
        <w:t>IN THE UNITED STATES COURT OF APPEALS</w:t>
      </w:r>
    </w:p>
    <w:p w:rsidR="009F6D92" w:rsidRPr="009A4A2D" w:rsidRDefault="009F6D92" w:rsidP="009F6D92">
      <w:pPr>
        <w:jc w:val="center"/>
        <w:rPr>
          <w:b/>
          <w:sz w:val="24"/>
          <w:szCs w:val="24"/>
        </w:rPr>
      </w:pPr>
      <w:r w:rsidRPr="009A4A2D">
        <w:rPr>
          <w:b/>
          <w:sz w:val="24"/>
          <w:szCs w:val="24"/>
        </w:rPr>
        <w:t>FOR THE SIXTH CIRCUIT</w:t>
      </w:r>
    </w:p>
    <w:p w:rsidR="009F6D92" w:rsidRPr="009A4A2D" w:rsidRDefault="009F6D92" w:rsidP="009F6D92">
      <w:pPr>
        <w:jc w:val="center"/>
        <w:rPr>
          <w:b/>
          <w:sz w:val="24"/>
          <w:szCs w:val="24"/>
        </w:rPr>
      </w:pPr>
    </w:p>
    <w:p w:rsidR="009A4A2D" w:rsidRPr="009A4A2D" w:rsidRDefault="009A4A2D" w:rsidP="009A4A2D">
      <w:pPr>
        <w:rPr>
          <w:b/>
          <w:sz w:val="24"/>
          <w:szCs w:val="24"/>
        </w:rPr>
      </w:pPr>
      <w:r w:rsidRPr="009A4A2D">
        <w:rPr>
          <w:b/>
          <w:sz w:val="24"/>
          <w:szCs w:val="24"/>
        </w:rPr>
        <w:t>IN RE:</w:t>
      </w:r>
      <w:r>
        <w:rPr>
          <w:b/>
          <w:sz w:val="24"/>
          <w:szCs w:val="24"/>
        </w:rPr>
        <w:tab/>
      </w:r>
      <w:r>
        <w:rPr>
          <w:b/>
          <w:sz w:val="24"/>
          <w:szCs w:val="24"/>
        </w:rPr>
        <w:tab/>
      </w:r>
      <w:r>
        <w:rPr>
          <w:b/>
          <w:sz w:val="24"/>
          <w:szCs w:val="24"/>
        </w:rPr>
        <w:tab/>
      </w:r>
      <w:r>
        <w:rPr>
          <w:b/>
          <w:sz w:val="24"/>
          <w:szCs w:val="24"/>
        </w:rPr>
        <w:tab/>
      </w:r>
      <w:r>
        <w:rPr>
          <w:b/>
          <w:sz w:val="24"/>
          <w:szCs w:val="24"/>
        </w:rPr>
        <w:tab/>
        <w:t xml:space="preserve">    )</w:t>
      </w:r>
    </w:p>
    <w:p w:rsidR="009F6D92" w:rsidRPr="009A4A2D" w:rsidRDefault="009A4A2D" w:rsidP="009A4A2D">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9F6D92" w:rsidRPr="009A4A2D">
        <w:rPr>
          <w:b/>
          <w:sz w:val="24"/>
          <w:szCs w:val="24"/>
        </w:rPr>
        <w:t>)</w:t>
      </w:r>
    </w:p>
    <w:p w:rsidR="009F6D92" w:rsidRPr="009A4A2D" w:rsidRDefault="009F6D92" w:rsidP="009A4A2D">
      <w:pPr>
        <w:rPr>
          <w:b/>
          <w:sz w:val="24"/>
          <w:szCs w:val="24"/>
        </w:rPr>
      </w:pPr>
      <w:r w:rsidRPr="009A4A2D">
        <w:rPr>
          <w:b/>
          <w:sz w:val="24"/>
          <w:szCs w:val="24"/>
        </w:rPr>
        <w:tab/>
        <w:t>KENNETH THOMAS,</w:t>
      </w:r>
      <w:r w:rsidRPr="009A4A2D">
        <w:rPr>
          <w:b/>
          <w:sz w:val="24"/>
          <w:szCs w:val="24"/>
        </w:rPr>
        <w:tab/>
        <w:t xml:space="preserve">    </w:t>
      </w:r>
      <w:r w:rsidR="009A4A2D">
        <w:rPr>
          <w:b/>
          <w:sz w:val="24"/>
          <w:szCs w:val="24"/>
        </w:rPr>
        <w:tab/>
        <w:t xml:space="preserve">    </w:t>
      </w:r>
      <w:r w:rsidRPr="009A4A2D">
        <w:rPr>
          <w:b/>
          <w:sz w:val="24"/>
          <w:szCs w:val="24"/>
        </w:rPr>
        <w:t>)</w:t>
      </w:r>
      <w:r w:rsidRPr="009A4A2D">
        <w:rPr>
          <w:b/>
          <w:sz w:val="24"/>
          <w:szCs w:val="24"/>
        </w:rPr>
        <w:tab/>
      </w:r>
      <w:r w:rsidRPr="009A4A2D">
        <w:rPr>
          <w:b/>
          <w:sz w:val="24"/>
          <w:szCs w:val="24"/>
        </w:rPr>
        <w:tab/>
      </w:r>
      <w:r w:rsidRPr="009A4A2D">
        <w:rPr>
          <w:b/>
          <w:sz w:val="24"/>
          <w:szCs w:val="24"/>
        </w:rPr>
        <w:tab/>
        <w:t>No. 25-5708</w:t>
      </w:r>
    </w:p>
    <w:p w:rsidR="009F6D92" w:rsidRPr="009A4A2D" w:rsidRDefault="009A4A2D" w:rsidP="009A4A2D">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9F6D92" w:rsidRPr="009A4A2D">
        <w:rPr>
          <w:b/>
          <w:sz w:val="24"/>
          <w:szCs w:val="24"/>
        </w:rPr>
        <w:t>)</w:t>
      </w:r>
    </w:p>
    <w:p w:rsidR="009F6D92" w:rsidRPr="009A4A2D" w:rsidRDefault="009F6D92" w:rsidP="009A4A2D">
      <w:pPr>
        <w:rPr>
          <w:b/>
          <w:sz w:val="24"/>
          <w:szCs w:val="24"/>
        </w:rPr>
      </w:pPr>
      <w:r w:rsidRPr="009A4A2D">
        <w:rPr>
          <w:b/>
          <w:sz w:val="24"/>
          <w:szCs w:val="24"/>
        </w:rPr>
        <w:tab/>
        <w:t>Petitioner-Movant.</w:t>
      </w:r>
      <w:r w:rsidRPr="009A4A2D">
        <w:rPr>
          <w:b/>
          <w:sz w:val="24"/>
          <w:szCs w:val="24"/>
        </w:rPr>
        <w:tab/>
      </w:r>
      <w:r w:rsidRPr="009A4A2D">
        <w:rPr>
          <w:b/>
          <w:sz w:val="24"/>
          <w:szCs w:val="24"/>
        </w:rPr>
        <w:tab/>
        <w:t xml:space="preserve">  </w:t>
      </w:r>
      <w:r w:rsidR="009A4A2D">
        <w:rPr>
          <w:b/>
          <w:sz w:val="24"/>
          <w:szCs w:val="24"/>
        </w:rPr>
        <w:tab/>
        <w:t xml:space="preserve">    </w:t>
      </w:r>
      <w:r w:rsidRPr="009A4A2D">
        <w:rPr>
          <w:b/>
          <w:sz w:val="24"/>
          <w:szCs w:val="24"/>
        </w:rPr>
        <w:t>)</w:t>
      </w:r>
    </w:p>
    <w:p w:rsidR="009F6D92" w:rsidRPr="009A4A2D" w:rsidRDefault="009F6D92" w:rsidP="009A4A2D">
      <w:pPr>
        <w:pBdr>
          <w:bottom w:val="single" w:sz="12" w:space="1" w:color="auto"/>
        </w:pBdr>
        <w:rPr>
          <w:b/>
          <w:sz w:val="24"/>
          <w:szCs w:val="24"/>
        </w:rPr>
      </w:pPr>
    </w:p>
    <w:p w:rsidR="009F6D92" w:rsidRPr="009A4A2D" w:rsidRDefault="009F6D92" w:rsidP="009A4A2D">
      <w:pPr>
        <w:pBdr>
          <w:bottom w:val="single" w:sz="12" w:space="1" w:color="auto"/>
        </w:pBdr>
        <w:rPr>
          <w:b/>
          <w:sz w:val="24"/>
          <w:szCs w:val="24"/>
        </w:rPr>
      </w:pPr>
    </w:p>
    <w:p w:rsidR="009F6D92" w:rsidRPr="009A4A2D" w:rsidRDefault="009F6D92" w:rsidP="009F6D92">
      <w:pPr>
        <w:rPr>
          <w:b/>
          <w:sz w:val="24"/>
          <w:szCs w:val="24"/>
        </w:rPr>
      </w:pPr>
    </w:p>
    <w:p w:rsidR="009F6D92" w:rsidRPr="009A4A2D" w:rsidRDefault="009F6D92" w:rsidP="009F6D92">
      <w:pPr>
        <w:pBdr>
          <w:bottom w:val="single" w:sz="12" w:space="1" w:color="auto"/>
        </w:pBdr>
        <w:jc w:val="center"/>
        <w:rPr>
          <w:b/>
          <w:sz w:val="24"/>
          <w:szCs w:val="24"/>
        </w:rPr>
      </w:pPr>
      <w:bookmarkStart w:id="0" w:name="_Hlk210896926"/>
      <w:r w:rsidRPr="009A4A2D">
        <w:rPr>
          <w:b/>
          <w:sz w:val="24"/>
          <w:szCs w:val="24"/>
        </w:rPr>
        <w:t xml:space="preserve">MOVANT’S </w:t>
      </w:r>
      <w:bookmarkStart w:id="1" w:name="_Hlk210979969"/>
      <w:r w:rsidRPr="009A4A2D">
        <w:rPr>
          <w:b/>
          <w:sz w:val="24"/>
          <w:szCs w:val="24"/>
        </w:rPr>
        <w:t xml:space="preserve">REPLY </w:t>
      </w:r>
      <w:r w:rsidR="009A4A2D">
        <w:rPr>
          <w:b/>
          <w:sz w:val="24"/>
          <w:szCs w:val="24"/>
        </w:rPr>
        <w:t>IN SUPPORT OF APPLICATION FOR LEAVE TO FILE</w:t>
      </w:r>
      <w:r w:rsidRPr="009A4A2D">
        <w:rPr>
          <w:b/>
          <w:sz w:val="24"/>
          <w:szCs w:val="24"/>
        </w:rPr>
        <w:t xml:space="preserve"> SUCCESSIVE</w:t>
      </w:r>
      <w:r w:rsidR="009A4A2D">
        <w:rPr>
          <w:b/>
          <w:sz w:val="24"/>
          <w:szCs w:val="24"/>
        </w:rPr>
        <w:t xml:space="preserve"> PETITION FOR </w:t>
      </w:r>
      <w:r w:rsidR="00EF26C5">
        <w:rPr>
          <w:b/>
          <w:sz w:val="24"/>
          <w:szCs w:val="24"/>
        </w:rPr>
        <w:t xml:space="preserve">A </w:t>
      </w:r>
      <w:r w:rsidR="009A4A2D">
        <w:rPr>
          <w:b/>
          <w:sz w:val="24"/>
          <w:szCs w:val="24"/>
        </w:rPr>
        <w:t>WRIT</w:t>
      </w:r>
      <w:r w:rsidRPr="009A4A2D">
        <w:rPr>
          <w:b/>
          <w:sz w:val="24"/>
          <w:szCs w:val="24"/>
        </w:rPr>
        <w:t xml:space="preserve"> HABEAS CORPUS </w:t>
      </w:r>
    </w:p>
    <w:bookmarkEnd w:id="0"/>
    <w:bookmarkEnd w:id="1"/>
    <w:p w:rsidR="009F6D92" w:rsidRDefault="009F6D92" w:rsidP="009F6D92">
      <w:pPr>
        <w:pBdr>
          <w:bottom w:val="single" w:sz="12" w:space="1" w:color="auto"/>
        </w:pBdr>
        <w:jc w:val="center"/>
        <w:rPr>
          <w:b/>
          <w:sz w:val="32"/>
          <w:szCs w:val="32"/>
        </w:rPr>
      </w:pPr>
    </w:p>
    <w:p w:rsidR="009F6D92" w:rsidRDefault="009F6D92" w:rsidP="009F6D92">
      <w:pPr>
        <w:jc w:val="both"/>
        <w:rPr>
          <w:sz w:val="24"/>
          <w:szCs w:val="24"/>
        </w:rPr>
      </w:pPr>
    </w:p>
    <w:p w:rsidR="009A4A2D" w:rsidRPr="009A4A2D" w:rsidRDefault="009A4A2D" w:rsidP="009A4A2D">
      <w:pPr>
        <w:spacing w:after="240" w:line="360" w:lineRule="auto"/>
        <w:jc w:val="both"/>
        <w:rPr>
          <w:b/>
          <w:sz w:val="24"/>
          <w:szCs w:val="24"/>
        </w:rPr>
      </w:pPr>
      <w:r>
        <w:rPr>
          <w:sz w:val="24"/>
          <w:szCs w:val="24"/>
        </w:rPr>
        <w:tab/>
      </w:r>
      <w:r w:rsidRPr="009A4A2D">
        <w:rPr>
          <w:b/>
          <w:sz w:val="24"/>
          <w:szCs w:val="24"/>
        </w:rPr>
        <w:t>To the Honorable Judges of the United States Court of Appeals for the Sixth Circuit:</w:t>
      </w:r>
    </w:p>
    <w:p w:rsidR="002E1B09" w:rsidRDefault="009A4A2D" w:rsidP="009F6D92">
      <w:pPr>
        <w:spacing w:line="360" w:lineRule="auto"/>
        <w:jc w:val="both"/>
        <w:rPr>
          <w:sz w:val="24"/>
          <w:szCs w:val="24"/>
        </w:rPr>
      </w:pPr>
      <w:r>
        <w:rPr>
          <w:sz w:val="24"/>
          <w:szCs w:val="24"/>
        </w:rPr>
        <w:tab/>
      </w:r>
      <w:r w:rsidR="009F6D92">
        <w:rPr>
          <w:sz w:val="24"/>
          <w:szCs w:val="24"/>
        </w:rPr>
        <w:t xml:space="preserve">Comes now Movant Kenneth Deangelo Thomas, pro se, and replies to Respondent’s response in opposition to Movant’s motion for authorization to file a second or successive habeas petition. Movant submits that the Respondent’s opposition in fact strengthens Movant’s plea to have his habeas petition reopened, and that Movant has made </w:t>
      </w:r>
      <w:r>
        <w:rPr>
          <w:sz w:val="24"/>
          <w:szCs w:val="24"/>
        </w:rPr>
        <w:t>a prima facie</w:t>
      </w:r>
      <w:r w:rsidR="009F6D92">
        <w:rPr>
          <w:sz w:val="24"/>
          <w:szCs w:val="24"/>
        </w:rPr>
        <w:t xml:space="preserve"> showing of actual innocence, due diligence, and multiple instances of the violation of due process and the 14</w:t>
      </w:r>
      <w:r w:rsidR="009F6D92" w:rsidRPr="009F6D92">
        <w:rPr>
          <w:sz w:val="24"/>
          <w:szCs w:val="24"/>
          <w:vertAlign w:val="superscript"/>
        </w:rPr>
        <w:t>th</w:t>
      </w:r>
      <w:r w:rsidR="009F6D92">
        <w:rPr>
          <w:sz w:val="24"/>
          <w:szCs w:val="24"/>
        </w:rPr>
        <w:t xml:space="preserve"> and 6</w:t>
      </w:r>
      <w:r w:rsidR="009F6D92" w:rsidRPr="009F6D92">
        <w:rPr>
          <w:sz w:val="24"/>
          <w:szCs w:val="24"/>
          <w:vertAlign w:val="superscript"/>
        </w:rPr>
        <w:t>th</w:t>
      </w:r>
      <w:r w:rsidR="009F6D92">
        <w:rPr>
          <w:sz w:val="24"/>
          <w:szCs w:val="24"/>
        </w:rPr>
        <w:t xml:space="preserve"> Amendments.</w:t>
      </w:r>
      <w:r w:rsidR="007B0E8D">
        <w:rPr>
          <w:sz w:val="24"/>
          <w:szCs w:val="24"/>
        </w:rPr>
        <w:t xml:space="preserve"> Movant is contemporaneously filing a direct response to the State’s misrepresentations and distortions of fact along with this reply.</w:t>
      </w:r>
    </w:p>
    <w:p w:rsidR="009A4A2D" w:rsidRDefault="009A4A2D" w:rsidP="009F6D92">
      <w:pPr>
        <w:spacing w:line="360" w:lineRule="auto"/>
        <w:jc w:val="both"/>
        <w:rPr>
          <w:sz w:val="24"/>
          <w:szCs w:val="24"/>
        </w:rPr>
      </w:pPr>
      <w:r>
        <w:rPr>
          <w:sz w:val="24"/>
          <w:szCs w:val="24"/>
        </w:rPr>
        <w:tab/>
        <w:t xml:space="preserve">I come before this Honorable Court as a man seeking justice, not sympathy. Although not as educated or trained in the law as the Respondent’s attorneys, I have the </w:t>
      </w:r>
      <w:r w:rsidRPr="009A4A2D">
        <w:rPr>
          <w:i/>
          <w:sz w:val="24"/>
          <w:szCs w:val="24"/>
        </w:rPr>
        <w:t>truth</w:t>
      </w:r>
      <w:r>
        <w:rPr>
          <w:sz w:val="24"/>
          <w:szCs w:val="24"/>
        </w:rPr>
        <w:t xml:space="preserve"> on my side.</w:t>
      </w:r>
    </w:p>
    <w:p w:rsidR="009A4A2D" w:rsidRDefault="009A4A2D" w:rsidP="009F6D92">
      <w:pPr>
        <w:spacing w:line="360" w:lineRule="auto"/>
        <w:jc w:val="both"/>
        <w:rPr>
          <w:sz w:val="24"/>
          <w:szCs w:val="24"/>
        </w:rPr>
      </w:pPr>
      <w:r>
        <w:rPr>
          <w:sz w:val="24"/>
          <w:szCs w:val="24"/>
        </w:rPr>
        <w:tab/>
        <w:t xml:space="preserve">For more than two decades I have lived under a conviction that was built on concealment, false testimony, and silence. The </w:t>
      </w:r>
      <w:r w:rsidRPr="009A4A2D">
        <w:rPr>
          <w:i/>
          <w:sz w:val="24"/>
          <w:szCs w:val="24"/>
        </w:rPr>
        <w:t>truth</w:t>
      </w:r>
      <w:r>
        <w:rPr>
          <w:sz w:val="24"/>
          <w:szCs w:val="24"/>
        </w:rPr>
        <w:t xml:space="preserve"> was buried – literally hidden in another case’s file – and that </w:t>
      </w:r>
      <w:r w:rsidRPr="009A4A2D">
        <w:rPr>
          <w:i/>
          <w:sz w:val="24"/>
          <w:szCs w:val="24"/>
        </w:rPr>
        <w:t>truth</w:t>
      </w:r>
      <w:r>
        <w:rPr>
          <w:sz w:val="24"/>
          <w:szCs w:val="24"/>
        </w:rPr>
        <w:t xml:space="preserve"> shows I did not kill anyone.</w:t>
      </w:r>
    </w:p>
    <w:p w:rsidR="00423D52" w:rsidRDefault="009A4A2D" w:rsidP="00423D52">
      <w:pPr>
        <w:spacing w:after="240" w:line="360" w:lineRule="auto"/>
        <w:jc w:val="both"/>
        <w:rPr>
          <w:sz w:val="24"/>
          <w:szCs w:val="24"/>
        </w:rPr>
      </w:pPr>
      <w:r>
        <w:rPr>
          <w:sz w:val="24"/>
          <w:szCs w:val="24"/>
        </w:rPr>
        <w:tab/>
        <w:t>This reply supports my application under 28 U.S.C. § 2244(b)</w:t>
      </w:r>
      <w:r w:rsidR="00423D52">
        <w:rPr>
          <w:sz w:val="24"/>
          <w:szCs w:val="24"/>
        </w:rPr>
        <w:t>(2)(B). Newly discovered evidence – wrongfully withheld by the State – proves that critical witnesses lied and that the prosecution concealed facts which, if known, would have changed the outcome of my trial.</w:t>
      </w:r>
    </w:p>
    <w:p w:rsidR="00423D52" w:rsidRDefault="00423D52" w:rsidP="00423D52">
      <w:pPr>
        <w:spacing w:after="240" w:line="360" w:lineRule="auto"/>
        <w:jc w:val="center"/>
        <w:rPr>
          <w:b/>
          <w:sz w:val="24"/>
          <w:szCs w:val="24"/>
        </w:rPr>
      </w:pPr>
      <w:r w:rsidRPr="00423D52">
        <w:rPr>
          <w:b/>
          <w:sz w:val="24"/>
          <w:szCs w:val="24"/>
        </w:rPr>
        <w:t>Section I – Introduction &amp; Framing Under 28 U.S.C. § 2244(b)(2)(B)</w:t>
      </w:r>
    </w:p>
    <w:p w:rsidR="00423D52" w:rsidRDefault="00423D52" w:rsidP="00423D52">
      <w:pPr>
        <w:spacing w:after="240" w:line="360" w:lineRule="auto"/>
        <w:jc w:val="both"/>
        <w:rPr>
          <w:sz w:val="24"/>
          <w:szCs w:val="24"/>
        </w:rPr>
      </w:pPr>
      <w:r>
        <w:rPr>
          <w:sz w:val="24"/>
          <w:szCs w:val="24"/>
        </w:rPr>
        <w:t xml:space="preserve"> </w:t>
      </w:r>
      <w:r>
        <w:rPr>
          <w:sz w:val="24"/>
          <w:szCs w:val="24"/>
        </w:rPr>
        <w:tab/>
        <w:t xml:space="preserve">I am an innocent man who has spent almost two and a half </w:t>
      </w:r>
      <w:r w:rsidRPr="00423D52">
        <w:rPr>
          <w:i/>
          <w:sz w:val="24"/>
          <w:szCs w:val="24"/>
        </w:rPr>
        <w:t>decades</w:t>
      </w:r>
      <w:r>
        <w:rPr>
          <w:sz w:val="24"/>
          <w:szCs w:val="24"/>
        </w:rPr>
        <w:t xml:space="preserve"> behind bars for a crime I did not commit. What began as a tragedy has become a constitutional disgrace – a prolonged </w:t>
      </w:r>
      <w:r>
        <w:rPr>
          <w:sz w:val="24"/>
          <w:szCs w:val="24"/>
        </w:rPr>
        <w:lastRenderedPageBreak/>
        <w:t>miscarriage of justice that defies the very principles this nation claims to stand for. My continued incarceration is not simply a legal error; it is a moral failure and a violation of the most basic guarantees of due process and equal protection under the law.</w:t>
      </w:r>
    </w:p>
    <w:p w:rsidR="001F4A29" w:rsidRDefault="00423D52" w:rsidP="001F4A29">
      <w:pPr>
        <w:spacing w:after="240" w:line="360" w:lineRule="auto"/>
        <w:jc w:val="both"/>
        <w:rPr>
          <w:sz w:val="24"/>
          <w:szCs w:val="24"/>
        </w:rPr>
      </w:pPr>
      <w:r>
        <w:rPr>
          <w:sz w:val="24"/>
          <w:szCs w:val="24"/>
        </w:rPr>
        <w:tab/>
        <w:t xml:space="preserve">For over two </w:t>
      </w:r>
      <w:r w:rsidRPr="00423D52">
        <w:rPr>
          <w:i/>
          <w:sz w:val="24"/>
          <w:szCs w:val="24"/>
        </w:rPr>
        <w:t>decades</w:t>
      </w:r>
      <w:r>
        <w:rPr>
          <w:sz w:val="24"/>
          <w:szCs w:val="24"/>
        </w:rPr>
        <w:t xml:space="preserve">, the State of Tennessee has been aware – or should have been aware – of the constitutional violations that destroyed my life. From my early twenties to my late forties, I have watched time, hope, and opportunity vanish while the courts looked away. The Sixth Amendment promises </w:t>
      </w:r>
      <w:r w:rsidR="001F4A29">
        <w:rPr>
          <w:sz w:val="24"/>
          <w:szCs w:val="24"/>
        </w:rPr>
        <w:t>me a fair trial, and the Fourteenth Amendment promises fairness and due process. Yet in my case, neither has been honored. Tennessee’s courts, by repeatedly ignoring or misrepresenting clearly exculpatory evidence, have proven themselves “ineffective to protect the rights of the Petitioner” as contemplated by § 2244(b)(2)(B)(ii).</w:t>
      </w:r>
    </w:p>
    <w:p w:rsidR="001F4A29" w:rsidRDefault="001F4A29" w:rsidP="001F4A29">
      <w:pPr>
        <w:spacing w:after="240" w:line="360" w:lineRule="auto"/>
        <w:jc w:val="both"/>
        <w:rPr>
          <w:sz w:val="24"/>
          <w:szCs w:val="24"/>
        </w:rPr>
      </w:pPr>
      <w:r>
        <w:rPr>
          <w:sz w:val="24"/>
          <w:szCs w:val="24"/>
        </w:rPr>
        <w:tab/>
        <w:t>The Constitution demands correction of this wrong. This motion is not about technicalities – it is about truth. And the truth, now fully exposed through suppressed and newly revealed evidence, shows not only that I was wrongfully convicted, but that the State of Tennessee deliberately hid what would have proven my innocence.</w:t>
      </w:r>
    </w:p>
    <w:p w:rsidR="001F4A29" w:rsidRDefault="001F4A29" w:rsidP="001F4A29">
      <w:pPr>
        <w:spacing w:after="240" w:line="360" w:lineRule="auto"/>
        <w:jc w:val="center"/>
        <w:rPr>
          <w:b/>
          <w:sz w:val="24"/>
          <w:szCs w:val="24"/>
        </w:rPr>
      </w:pPr>
      <w:r>
        <w:rPr>
          <w:b/>
          <w:sz w:val="24"/>
          <w:szCs w:val="24"/>
        </w:rPr>
        <w:t>Section II – Rebuttal of the State’s “Due Diligence” Argument</w:t>
      </w:r>
    </w:p>
    <w:p w:rsidR="001F4A29" w:rsidRDefault="001F4A29" w:rsidP="001F4A29">
      <w:pPr>
        <w:spacing w:after="240" w:line="360" w:lineRule="auto"/>
        <w:jc w:val="both"/>
        <w:rPr>
          <w:sz w:val="24"/>
          <w:szCs w:val="24"/>
        </w:rPr>
      </w:pPr>
      <w:r>
        <w:rPr>
          <w:sz w:val="24"/>
          <w:szCs w:val="24"/>
        </w:rPr>
        <w:tab/>
        <w:t xml:space="preserve">The Respondent accuses me of failing to exercise due diligence – a claim as dishonest as it is hollow. The record itself proves that the critical evidence was not discoverable earlier because </w:t>
      </w:r>
      <w:r w:rsidRPr="00623DD6">
        <w:rPr>
          <w:b/>
          <w:i/>
          <w:sz w:val="24"/>
          <w:szCs w:val="24"/>
        </w:rPr>
        <w:t>the State itself concealed it</w:t>
      </w:r>
      <w:r>
        <w:rPr>
          <w:sz w:val="24"/>
          <w:szCs w:val="24"/>
        </w:rPr>
        <w:t xml:space="preserve"> in another case’s files. What they call “lack of diligence” is in fact the product of deliberate suppression – the precise conduct condemned in </w:t>
      </w:r>
      <w:r w:rsidRPr="00623DD6">
        <w:rPr>
          <w:i/>
          <w:sz w:val="24"/>
          <w:szCs w:val="24"/>
        </w:rPr>
        <w:t>Banks v. Dretke</w:t>
      </w:r>
      <w:r>
        <w:rPr>
          <w:sz w:val="24"/>
          <w:szCs w:val="24"/>
        </w:rPr>
        <w:t>, 540 U.S. 668 (2004).</w:t>
      </w:r>
    </w:p>
    <w:p w:rsidR="002406A0" w:rsidRDefault="002406A0" w:rsidP="001F4A29">
      <w:pPr>
        <w:spacing w:after="240" w:line="360" w:lineRule="auto"/>
        <w:jc w:val="both"/>
        <w:rPr>
          <w:sz w:val="24"/>
          <w:szCs w:val="24"/>
        </w:rPr>
      </w:pPr>
      <w:r>
        <w:rPr>
          <w:sz w:val="24"/>
          <w:szCs w:val="24"/>
        </w:rPr>
        <w:tab/>
        <w:t xml:space="preserve">The suppressed evidence does not involve “one continuous interview” as the State pretends, but </w:t>
      </w:r>
      <w:r w:rsidRPr="00623DD6">
        <w:rPr>
          <w:b/>
          <w:i/>
          <w:sz w:val="24"/>
          <w:szCs w:val="24"/>
        </w:rPr>
        <w:t>two entirely separate interviews for two unrelated cases</w:t>
      </w:r>
      <w:r>
        <w:rPr>
          <w:sz w:val="24"/>
          <w:szCs w:val="24"/>
        </w:rPr>
        <w:t xml:space="preserve"> – a fact the State has now distorted. Detectives Tim Mason and Kent McAlister themselves clarified</w:t>
      </w:r>
      <w:r w:rsidRPr="007B0E8D">
        <w:rPr>
          <w:sz w:val="24"/>
          <w:szCs w:val="24"/>
        </w:rPr>
        <w:t>:</w:t>
      </w:r>
      <w:r w:rsidRPr="007B0E8D">
        <w:rPr>
          <w:i/>
          <w:sz w:val="24"/>
          <w:szCs w:val="24"/>
        </w:rPr>
        <w:t xml:space="preserve"> “Well, hold on, let us talk just a minute. Let us do these one at a time.” </w:t>
      </w:r>
      <w:r>
        <w:rPr>
          <w:sz w:val="24"/>
          <w:szCs w:val="24"/>
        </w:rPr>
        <w:t>They drew that distinction because these were separate sessions, not one continuous conversation.</w:t>
      </w:r>
    </w:p>
    <w:p w:rsidR="002406A0" w:rsidRDefault="002406A0" w:rsidP="001F4A29">
      <w:pPr>
        <w:spacing w:after="240" w:line="360" w:lineRule="auto"/>
        <w:jc w:val="both"/>
        <w:rPr>
          <w:sz w:val="24"/>
          <w:szCs w:val="24"/>
        </w:rPr>
      </w:pPr>
      <w:r>
        <w:rPr>
          <w:sz w:val="24"/>
          <w:szCs w:val="24"/>
        </w:rPr>
        <w:tab/>
        <w:t xml:space="preserve">The ending of that initial first interview – the one deliberately buried – was never turned over to the defense of </w:t>
      </w:r>
      <w:r w:rsidRPr="002406A0">
        <w:rPr>
          <w:i/>
          <w:sz w:val="24"/>
          <w:szCs w:val="24"/>
        </w:rPr>
        <w:t>this</w:t>
      </w:r>
      <w:r>
        <w:rPr>
          <w:sz w:val="24"/>
          <w:szCs w:val="24"/>
        </w:rPr>
        <w:t xml:space="preserve"> case. That single act ensured that no defense attorney, no judge, and certainly no defendant could have ever discovered it through ordinary diligence. When Paul Talley, </w:t>
      </w:r>
      <w:r>
        <w:rPr>
          <w:sz w:val="24"/>
          <w:szCs w:val="24"/>
        </w:rPr>
        <w:lastRenderedPageBreak/>
        <w:t xml:space="preserve">the State’s star witness, was re-interviewed under the guise of another case, that second </w:t>
      </w:r>
      <w:r w:rsidR="007B0E8D">
        <w:rPr>
          <w:sz w:val="24"/>
          <w:szCs w:val="24"/>
        </w:rPr>
        <w:t xml:space="preserve"> interview  / </w:t>
      </w:r>
      <w:r>
        <w:rPr>
          <w:sz w:val="24"/>
          <w:szCs w:val="24"/>
        </w:rPr>
        <w:t xml:space="preserve">transcript became the </w:t>
      </w:r>
      <w:r w:rsidRPr="00623DD6">
        <w:rPr>
          <w:b/>
          <w:i/>
          <w:sz w:val="24"/>
          <w:szCs w:val="24"/>
        </w:rPr>
        <w:t>only version ever referenced</w:t>
      </w:r>
      <w:r>
        <w:rPr>
          <w:sz w:val="24"/>
          <w:szCs w:val="24"/>
        </w:rPr>
        <w:t xml:space="preserve"> by prosecutors, defense, and courts alike – because it was the only one ever disclosed.</w:t>
      </w:r>
    </w:p>
    <w:p w:rsidR="002406A0" w:rsidRDefault="002406A0" w:rsidP="001F4A29">
      <w:pPr>
        <w:spacing w:after="240" w:line="360" w:lineRule="auto"/>
        <w:jc w:val="both"/>
        <w:rPr>
          <w:sz w:val="24"/>
          <w:szCs w:val="24"/>
        </w:rPr>
      </w:pPr>
      <w:r>
        <w:rPr>
          <w:sz w:val="24"/>
          <w:szCs w:val="24"/>
        </w:rPr>
        <w:tab/>
        <w:t xml:space="preserve">By burying the end of that first interview and disclosing only the second one, the State violated every principle of </w:t>
      </w:r>
      <w:r w:rsidRPr="00623DD6">
        <w:rPr>
          <w:i/>
          <w:sz w:val="24"/>
          <w:szCs w:val="24"/>
        </w:rPr>
        <w:t>Brady</w:t>
      </w:r>
      <w:r>
        <w:rPr>
          <w:sz w:val="24"/>
          <w:szCs w:val="24"/>
        </w:rPr>
        <w:t xml:space="preserve"> and </w:t>
      </w:r>
      <w:r w:rsidRPr="00623DD6">
        <w:rPr>
          <w:i/>
          <w:sz w:val="24"/>
          <w:szCs w:val="24"/>
        </w:rPr>
        <w:t>Banks</w:t>
      </w:r>
      <w:r>
        <w:rPr>
          <w:sz w:val="24"/>
          <w:szCs w:val="24"/>
        </w:rPr>
        <w:t xml:space="preserve">. </w:t>
      </w:r>
      <w:r w:rsidRPr="00623DD6">
        <w:rPr>
          <w:i/>
          <w:sz w:val="24"/>
          <w:szCs w:val="24"/>
        </w:rPr>
        <w:t>Banks</w:t>
      </w:r>
      <w:r>
        <w:rPr>
          <w:sz w:val="24"/>
          <w:szCs w:val="24"/>
        </w:rPr>
        <w:t xml:space="preserve"> made clear that defendants are not expected “to scavenge for hints of undisclosed </w:t>
      </w:r>
      <w:r w:rsidRPr="00623DD6">
        <w:rPr>
          <w:i/>
          <w:sz w:val="24"/>
          <w:szCs w:val="24"/>
        </w:rPr>
        <w:t>Brady</w:t>
      </w:r>
      <w:r>
        <w:rPr>
          <w:sz w:val="24"/>
          <w:szCs w:val="24"/>
        </w:rPr>
        <w:t xml:space="preserve"> material when the prosecution represents that all such material has been disclosed.” Yet that is exactly what Tennessee has forced me to do – search for truth in the dark, long after the fact, long after my youth, long after justice should have been done.</w:t>
      </w:r>
    </w:p>
    <w:p w:rsidR="002406A0" w:rsidRDefault="002406A0" w:rsidP="001F4A29">
      <w:pPr>
        <w:spacing w:after="240" w:line="360" w:lineRule="auto"/>
        <w:jc w:val="both"/>
        <w:rPr>
          <w:sz w:val="24"/>
          <w:szCs w:val="24"/>
        </w:rPr>
      </w:pPr>
      <w:r>
        <w:rPr>
          <w:sz w:val="24"/>
          <w:szCs w:val="24"/>
        </w:rPr>
        <w:tab/>
        <w:t>If this interview had been disclosed to my defense as the Constitution requires, it would have appeared in the case file at least once during the past twenty-plus years. It never did. Only recently – through persistence, faith, and a stroke of providence – did the truth finally surface: that</w:t>
      </w:r>
      <w:r w:rsidR="00D75829">
        <w:rPr>
          <w:sz w:val="24"/>
          <w:szCs w:val="24"/>
        </w:rPr>
        <w:t xml:space="preserve"> the witness who helped convict me, Paul Talley</w:t>
      </w:r>
      <w:r w:rsidR="00D75829" w:rsidRPr="00D75829">
        <w:rPr>
          <w:b/>
          <w:sz w:val="24"/>
          <w:szCs w:val="24"/>
        </w:rPr>
        <w:t xml:space="preserve">, </w:t>
      </w:r>
      <w:r w:rsidR="00D75829" w:rsidRPr="00A4125A">
        <w:rPr>
          <w:b/>
          <w:i/>
          <w:sz w:val="24"/>
          <w:szCs w:val="24"/>
        </w:rPr>
        <w:t xml:space="preserve">told detectives in that undisclosed interview that I was not the killer. </w:t>
      </w:r>
      <w:r w:rsidR="00D75829">
        <w:rPr>
          <w:sz w:val="24"/>
          <w:szCs w:val="24"/>
        </w:rPr>
        <w:t xml:space="preserve">His statement was clear: </w:t>
      </w:r>
      <w:r w:rsidR="00D75829" w:rsidRPr="007B0E8D">
        <w:rPr>
          <w:i/>
          <w:sz w:val="24"/>
          <w:szCs w:val="24"/>
        </w:rPr>
        <w:t>“I know who did it – I just don’t know his name.”</w:t>
      </w:r>
    </w:p>
    <w:p w:rsidR="00D75829" w:rsidRDefault="00D75829" w:rsidP="001F4A29">
      <w:pPr>
        <w:spacing w:after="240" w:line="360" w:lineRule="auto"/>
        <w:jc w:val="both"/>
        <w:rPr>
          <w:sz w:val="24"/>
          <w:szCs w:val="24"/>
        </w:rPr>
      </w:pPr>
      <w:r>
        <w:rPr>
          <w:sz w:val="24"/>
          <w:szCs w:val="24"/>
        </w:rPr>
        <w:tab/>
        <w:t>That truth was buried. And my life was buried with it.</w:t>
      </w:r>
    </w:p>
    <w:p w:rsidR="00D75829" w:rsidRDefault="00D75829" w:rsidP="001F4A29">
      <w:pPr>
        <w:spacing w:after="240" w:line="360" w:lineRule="auto"/>
        <w:jc w:val="both"/>
        <w:rPr>
          <w:sz w:val="24"/>
          <w:szCs w:val="24"/>
        </w:rPr>
      </w:pPr>
      <w:r>
        <w:rPr>
          <w:sz w:val="24"/>
          <w:szCs w:val="24"/>
        </w:rPr>
        <w:tab/>
        <w:t xml:space="preserve">The State now wants this Court to pretend that concealment is diligence and that deception is procedure. But the facts and the law say otherwise. The deliberate hiding of exculpatory evidence by those sworn to uphold justice is the precise evil </w:t>
      </w:r>
      <w:r w:rsidRPr="00623DD6">
        <w:rPr>
          <w:i/>
          <w:sz w:val="24"/>
          <w:szCs w:val="24"/>
        </w:rPr>
        <w:t>Banks</w:t>
      </w:r>
      <w:r>
        <w:rPr>
          <w:sz w:val="24"/>
          <w:szCs w:val="24"/>
        </w:rPr>
        <w:t xml:space="preserve"> forbids and § 2244(b)(2)(B) exists to remedy.</w:t>
      </w:r>
    </w:p>
    <w:p w:rsidR="00D75829" w:rsidRDefault="00D75829" w:rsidP="00D75829">
      <w:pPr>
        <w:spacing w:after="240" w:line="360" w:lineRule="auto"/>
        <w:jc w:val="center"/>
        <w:rPr>
          <w:b/>
          <w:sz w:val="24"/>
          <w:szCs w:val="24"/>
        </w:rPr>
      </w:pPr>
      <w:r>
        <w:rPr>
          <w:b/>
          <w:sz w:val="24"/>
          <w:szCs w:val="24"/>
        </w:rPr>
        <w:t xml:space="preserve">Section III – Rebuttal of </w:t>
      </w:r>
      <w:r w:rsidRPr="00A4125A">
        <w:rPr>
          <w:b/>
          <w:i/>
          <w:sz w:val="24"/>
          <w:szCs w:val="24"/>
        </w:rPr>
        <w:t>Brady</w:t>
      </w:r>
      <w:r>
        <w:rPr>
          <w:b/>
          <w:sz w:val="24"/>
          <w:szCs w:val="24"/>
        </w:rPr>
        <w:t xml:space="preserve"> / </w:t>
      </w:r>
      <w:r w:rsidRPr="00A4125A">
        <w:rPr>
          <w:b/>
          <w:i/>
          <w:sz w:val="24"/>
          <w:szCs w:val="24"/>
        </w:rPr>
        <w:t>Giglio</w:t>
      </w:r>
      <w:r>
        <w:rPr>
          <w:b/>
          <w:sz w:val="24"/>
          <w:szCs w:val="24"/>
        </w:rPr>
        <w:t xml:space="preserve"> Violations</w:t>
      </w:r>
    </w:p>
    <w:p w:rsidR="00D75829" w:rsidRPr="00A4125A" w:rsidRDefault="00D75829" w:rsidP="00D75829">
      <w:pPr>
        <w:spacing w:after="240" w:line="360" w:lineRule="auto"/>
        <w:jc w:val="both"/>
        <w:rPr>
          <w:b/>
          <w:i/>
          <w:sz w:val="24"/>
          <w:szCs w:val="24"/>
        </w:rPr>
      </w:pPr>
      <w:r>
        <w:rPr>
          <w:sz w:val="24"/>
          <w:szCs w:val="24"/>
        </w:rPr>
        <w:tab/>
        <w:t xml:space="preserve">The State of Tennessee’s conduct in this case is the very embodiment of what </w:t>
      </w:r>
      <w:r w:rsidRPr="00623DD6">
        <w:rPr>
          <w:i/>
          <w:sz w:val="24"/>
          <w:szCs w:val="24"/>
        </w:rPr>
        <w:t xml:space="preserve">Brady v. Maryland, Giglio v. United States, </w:t>
      </w:r>
      <w:r w:rsidRPr="00CF7FF4">
        <w:rPr>
          <w:sz w:val="24"/>
          <w:szCs w:val="24"/>
        </w:rPr>
        <w:t>and</w:t>
      </w:r>
      <w:r w:rsidRPr="00623DD6">
        <w:rPr>
          <w:i/>
          <w:sz w:val="24"/>
          <w:szCs w:val="24"/>
        </w:rPr>
        <w:t xml:space="preserve"> Napue v. Illinois</w:t>
      </w:r>
      <w:r>
        <w:rPr>
          <w:sz w:val="24"/>
          <w:szCs w:val="24"/>
        </w:rPr>
        <w:t xml:space="preserve"> were meant to prevent: </w:t>
      </w:r>
      <w:r w:rsidRPr="00A4125A">
        <w:rPr>
          <w:b/>
          <w:i/>
          <w:sz w:val="24"/>
          <w:szCs w:val="24"/>
        </w:rPr>
        <w:t>the deliberate suppression and distortion of material truth.</w:t>
      </w:r>
    </w:p>
    <w:p w:rsidR="00CF7FF4" w:rsidRDefault="00D75829" w:rsidP="00D75829">
      <w:pPr>
        <w:spacing w:after="240" w:line="360" w:lineRule="auto"/>
        <w:jc w:val="both"/>
        <w:rPr>
          <w:sz w:val="24"/>
          <w:szCs w:val="24"/>
        </w:rPr>
      </w:pPr>
      <w:r>
        <w:rPr>
          <w:b/>
          <w:sz w:val="24"/>
          <w:szCs w:val="24"/>
        </w:rPr>
        <w:tab/>
      </w:r>
      <w:r>
        <w:rPr>
          <w:sz w:val="24"/>
          <w:szCs w:val="24"/>
        </w:rPr>
        <w:t xml:space="preserve">For decades now, the State has operated under the lie that it “turned over all discoverable evidence.” That is false – and they know it. They violated </w:t>
      </w:r>
      <w:r w:rsidRPr="00623DD6">
        <w:rPr>
          <w:i/>
          <w:sz w:val="24"/>
          <w:szCs w:val="24"/>
        </w:rPr>
        <w:t>Brady</w:t>
      </w:r>
      <w:r>
        <w:rPr>
          <w:sz w:val="24"/>
          <w:szCs w:val="24"/>
        </w:rPr>
        <w:t xml:space="preserve"> by withholding an interview that clearly exculpated me; they violated </w:t>
      </w:r>
      <w:r w:rsidRPr="00623DD6">
        <w:rPr>
          <w:i/>
          <w:sz w:val="24"/>
          <w:szCs w:val="24"/>
        </w:rPr>
        <w:t>Giglio</w:t>
      </w:r>
      <w:r>
        <w:rPr>
          <w:sz w:val="24"/>
          <w:szCs w:val="24"/>
        </w:rPr>
        <w:t xml:space="preserve"> by standing behind testimony they knew was false; and they violated </w:t>
      </w:r>
      <w:r w:rsidRPr="00623DD6">
        <w:rPr>
          <w:i/>
          <w:sz w:val="24"/>
          <w:szCs w:val="24"/>
        </w:rPr>
        <w:t>Napue</w:t>
      </w:r>
      <w:r>
        <w:rPr>
          <w:sz w:val="24"/>
          <w:szCs w:val="24"/>
        </w:rPr>
        <w:t xml:space="preserve"> by allowing that falsehood to stand uncorrected before the courts, juries, and the people of Tennessee. See </w:t>
      </w:r>
      <w:r w:rsidRPr="00623DD6">
        <w:rPr>
          <w:i/>
          <w:sz w:val="24"/>
          <w:szCs w:val="24"/>
        </w:rPr>
        <w:t>Glossip v. Oklahoma</w:t>
      </w:r>
      <w:r w:rsidR="00623DD6">
        <w:rPr>
          <w:sz w:val="24"/>
          <w:szCs w:val="24"/>
        </w:rPr>
        <w:t>, 145 S.Ct. 612 (2025).</w:t>
      </w:r>
    </w:p>
    <w:p w:rsidR="00CF7FF4" w:rsidRDefault="00D75829" w:rsidP="00CF7FF4">
      <w:pPr>
        <w:spacing w:after="240" w:line="360" w:lineRule="auto"/>
        <w:jc w:val="both"/>
        <w:rPr>
          <w:sz w:val="24"/>
          <w:szCs w:val="24"/>
        </w:rPr>
      </w:pPr>
      <w:r>
        <w:rPr>
          <w:sz w:val="24"/>
          <w:szCs w:val="24"/>
        </w:rPr>
        <w:lastRenderedPageBreak/>
        <w:tab/>
        <w:t xml:space="preserve">The </w:t>
      </w:r>
      <w:r w:rsidRPr="00A4125A">
        <w:rPr>
          <w:b/>
          <w:i/>
          <w:sz w:val="24"/>
          <w:szCs w:val="24"/>
        </w:rPr>
        <w:t>State’s story has never stayed the same</w:t>
      </w:r>
      <w:r>
        <w:rPr>
          <w:sz w:val="24"/>
          <w:szCs w:val="24"/>
        </w:rPr>
        <w:t xml:space="preserve"> because it was built on a foundation of deceit. In the interviews and transcripts that </w:t>
      </w:r>
      <w:r w:rsidRPr="00E11595">
        <w:rPr>
          <w:i/>
          <w:sz w:val="24"/>
          <w:szCs w:val="24"/>
        </w:rPr>
        <w:t>were</w:t>
      </w:r>
      <w:r>
        <w:rPr>
          <w:sz w:val="24"/>
          <w:szCs w:val="24"/>
        </w:rPr>
        <w:t xml:space="preserve"> disclosed, the prosecution’s witnesses repeatedly</w:t>
      </w:r>
      <w:r w:rsidR="00E11595">
        <w:rPr>
          <w:sz w:val="24"/>
          <w:szCs w:val="24"/>
        </w:rPr>
        <w:t xml:space="preserve"> changed their accounts – bending their words to fit the State’s theory of the day. Each new inconsistency, each new omission, each rephrased “memory” was another patch in a crumbling lie.</w:t>
      </w:r>
      <w:r w:rsidR="00CF7FF4" w:rsidRPr="00CF7FF4">
        <w:rPr>
          <w:sz w:val="24"/>
          <w:szCs w:val="24"/>
        </w:rPr>
        <w:t xml:space="preserve"> </w:t>
      </w:r>
    </w:p>
    <w:p w:rsidR="00E11595" w:rsidRDefault="00E11595" w:rsidP="00D75829">
      <w:pPr>
        <w:spacing w:after="240" w:line="360" w:lineRule="auto"/>
        <w:jc w:val="both"/>
        <w:rPr>
          <w:sz w:val="24"/>
          <w:szCs w:val="24"/>
        </w:rPr>
      </w:pPr>
      <w:r>
        <w:rPr>
          <w:sz w:val="24"/>
          <w:szCs w:val="24"/>
        </w:rPr>
        <w:tab/>
        <w:t>But the most damaging evidence is what they chose to bury.</w:t>
      </w:r>
    </w:p>
    <w:p w:rsidR="00E11595" w:rsidRDefault="00E11595" w:rsidP="00D75829">
      <w:pPr>
        <w:spacing w:after="240" w:line="360" w:lineRule="auto"/>
        <w:jc w:val="both"/>
        <w:rPr>
          <w:sz w:val="24"/>
          <w:szCs w:val="24"/>
        </w:rPr>
      </w:pPr>
      <w:r>
        <w:rPr>
          <w:sz w:val="24"/>
          <w:szCs w:val="24"/>
        </w:rPr>
        <w:tab/>
        <w:t xml:space="preserve">In the </w:t>
      </w:r>
      <w:r w:rsidRPr="00A4125A">
        <w:rPr>
          <w:b/>
          <w:i/>
          <w:sz w:val="24"/>
          <w:szCs w:val="24"/>
        </w:rPr>
        <w:t>undisclosed Paul Talley interview</w:t>
      </w:r>
      <w:r>
        <w:rPr>
          <w:sz w:val="24"/>
          <w:szCs w:val="24"/>
        </w:rPr>
        <w:t xml:space="preserve">, which lay hidden in another case file for years, Talley made it plain: </w:t>
      </w:r>
      <w:r w:rsidRPr="001501DD">
        <w:rPr>
          <w:i/>
          <w:sz w:val="24"/>
          <w:szCs w:val="24"/>
        </w:rPr>
        <w:t>“I know who did it, I just don’t know his name.”</w:t>
      </w:r>
    </w:p>
    <w:p w:rsidR="00E11595" w:rsidRDefault="00E11595" w:rsidP="00D75829">
      <w:pPr>
        <w:spacing w:after="240" w:line="360" w:lineRule="auto"/>
        <w:jc w:val="both"/>
        <w:rPr>
          <w:sz w:val="24"/>
          <w:szCs w:val="24"/>
        </w:rPr>
      </w:pPr>
      <w:r>
        <w:rPr>
          <w:sz w:val="24"/>
          <w:szCs w:val="24"/>
        </w:rPr>
        <w:tab/>
        <w:t>That statement alone destroys the State’s theory – because it proves I was not the shooter.</w:t>
      </w:r>
    </w:p>
    <w:p w:rsidR="00E11595" w:rsidRDefault="00E11595" w:rsidP="00D75829">
      <w:pPr>
        <w:spacing w:after="240" w:line="360" w:lineRule="auto"/>
        <w:jc w:val="both"/>
        <w:rPr>
          <w:sz w:val="24"/>
          <w:szCs w:val="24"/>
        </w:rPr>
      </w:pPr>
      <w:r>
        <w:rPr>
          <w:sz w:val="24"/>
          <w:szCs w:val="24"/>
        </w:rPr>
        <w:tab/>
        <w:t xml:space="preserve">The State now wants to erase that truth by pretending that this interview was irrelevant or already disclosed. That is pure fiction. The hidden </w:t>
      </w:r>
      <w:r w:rsidR="001501DD">
        <w:rPr>
          <w:sz w:val="24"/>
          <w:szCs w:val="24"/>
        </w:rPr>
        <w:t xml:space="preserve">interview / </w:t>
      </w:r>
      <w:r>
        <w:rPr>
          <w:sz w:val="24"/>
          <w:szCs w:val="24"/>
        </w:rPr>
        <w:t xml:space="preserve">transcript was </w:t>
      </w:r>
      <w:r w:rsidRPr="00E11595">
        <w:rPr>
          <w:i/>
          <w:sz w:val="24"/>
          <w:szCs w:val="24"/>
        </w:rPr>
        <w:t>never once</w:t>
      </w:r>
      <w:r>
        <w:rPr>
          <w:sz w:val="24"/>
          <w:szCs w:val="24"/>
        </w:rPr>
        <w:t xml:space="preserve"> turned over to the defense. It never appeared in the discovery for my case. It never appeared in my trial record. It never appeared in my appeals. It was buried so deeply that even diligent counsel could not have known it existed – the very situation condemned by </w:t>
      </w:r>
      <w:r w:rsidRPr="00623DD6">
        <w:rPr>
          <w:i/>
          <w:sz w:val="24"/>
          <w:szCs w:val="24"/>
        </w:rPr>
        <w:t>Banks v. Dretke</w:t>
      </w:r>
      <w:r>
        <w:rPr>
          <w:sz w:val="24"/>
          <w:szCs w:val="24"/>
        </w:rPr>
        <w:t>, 540 U.S. 668 (2004).</w:t>
      </w:r>
    </w:p>
    <w:p w:rsidR="00E11595" w:rsidRDefault="00E11595" w:rsidP="00D75829">
      <w:pPr>
        <w:spacing w:after="240" w:line="360" w:lineRule="auto"/>
        <w:jc w:val="both"/>
        <w:rPr>
          <w:sz w:val="24"/>
          <w:szCs w:val="24"/>
        </w:rPr>
      </w:pPr>
      <w:r>
        <w:rPr>
          <w:sz w:val="24"/>
          <w:szCs w:val="24"/>
        </w:rPr>
        <w:tab/>
        <w:t xml:space="preserve">In </w:t>
      </w:r>
      <w:r w:rsidRPr="00A4125A">
        <w:rPr>
          <w:i/>
          <w:sz w:val="24"/>
          <w:szCs w:val="24"/>
        </w:rPr>
        <w:t>Banks</w:t>
      </w:r>
      <w:r>
        <w:rPr>
          <w:sz w:val="24"/>
          <w:szCs w:val="24"/>
        </w:rPr>
        <w:t>, the Supreme Court recognized that “defendants should not be forced to scavenge for hints of undisclosed</w:t>
      </w:r>
      <w:r w:rsidRPr="005E224C">
        <w:rPr>
          <w:i/>
          <w:sz w:val="24"/>
          <w:szCs w:val="24"/>
        </w:rPr>
        <w:t xml:space="preserve"> Brady</w:t>
      </w:r>
      <w:r>
        <w:rPr>
          <w:sz w:val="24"/>
          <w:szCs w:val="24"/>
        </w:rPr>
        <w:t xml:space="preserve"> material when the prosecution represents that all such material has been disclosed.” Yet that is exactly what I’ve been forced to do – dig through decades of decay and deception to uncover what should have been handed to me from day one.</w:t>
      </w:r>
    </w:p>
    <w:p w:rsidR="00E11595" w:rsidRDefault="00E11595" w:rsidP="00D75829">
      <w:pPr>
        <w:spacing w:after="240" w:line="360" w:lineRule="auto"/>
        <w:jc w:val="both"/>
        <w:rPr>
          <w:sz w:val="24"/>
          <w:szCs w:val="24"/>
        </w:rPr>
      </w:pPr>
      <w:r>
        <w:rPr>
          <w:sz w:val="24"/>
          <w:szCs w:val="24"/>
        </w:rPr>
        <w:tab/>
        <w:t xml:space="preserve">The State either </w:t>
      </w:r>
      <w:r w:rsidRPr="001501DD">
        <w:rPr>
          <w:b/>
          <w:i/>
          <w:sz w:val="24"/>
          <w:szCs w:val="24"/>
        </w:rPr>
        <w:t>disregards or maliciously overlooks the truth</w:t>
      </w:r>
      <w:r>
        <w:rPr>
          <w:sz w:val="24"/>
          <w:szCs w:val="24"/>
        </w:rPr>
        <w:t xml:space="preserve">, and in doing so, it has turned justice into mockery. The onus is not on me or my trial attorney to prove that evidence was hidden – it is on the State of Tennessee to show that it disclosed all </w:t>
      </w:r>
      <w:r w:rsidRPr="00623DD6">
        <w:rPr>
          <w:i/>
          <w:sz w:val="24"/>
          <w:szCs w:val="24"/>
        </w:rPr>
        <w:t>Brady</w:t>
      </w:r>
      <w:r>
        <w:rPr>
          <w:sz w:val="24"/>
          <w:szCs w:val="24"/>
        </w:rPr>
        <w:t xml:space="preserve"> material. They cannot, because they did not.</w:t>
      </w:r>
    </w:p>
    <w:p w:rsidR="00E11595" w:rsidRDefault="00E11595" w:rsidP="00D75829">
      <w:pPr>
        <w:spacing w:after="240" w:line="360" w:lineRule="auto"/>
        <w:jc w:val="both"/>
        <w:rPr>
          <w:sz w:val="24"/>
          <w:szCs w:val="24"/>
        </w:rPr>
      </w:pPr>
      <w:r>
        <w:rPr>
          <w:sz w:val="24"/>
          <w:szCs w:val="24"/>
        </w:rPr>
        <w:tab/>
        <w:t>This is not a small mistake. It is not a clerical error or a forgotten document. It is the cons</w:t>
      </w:r>
      <w:r w:rsidR="004C2A6B">
        <w:rPr>
          <w:sz w:val="24"/>
          <w:szCs w:val="24"/>
        </w:rPr>
        <w:t>cious choice to bury a man alive beneath a lie.</w:t>
      </w:r>
    </w:p>
    <w:p w:rsidR="004C2A6B" w:rsidRDefault="004C2A6B" w:rsidP="00D75829">
      <w:pPr>
        <w:spacing w:after="240" w:line="360" w:lineRule="auto"/>
        <w:jc w:val="both"/>
        <w:rPr>
          <w:sz w:val="24"/>
          <w:szCs w:val="24"/>
        </w:rPr>
      </w:pPr>
      <w:r>
        <w:rPr>
          <w:sz w:val="24"/>
          <w:szCs w:val="24"/>
        </w:rPr>
        <w:tab/>
        <w:t xml:space="preserve">And what’s worse – even after being caught, the State still refuses to come clean. Instead, they double down on deceit. Their new narrative pretends that “disclosure in another case file” somehow satisfies </w:t>
      </w:r>
      <w:r w:rsidRPr="00623DD6">
        <w:rPr>
          <w:i/>
          <w:sz w:val="24"/>
          <w:szCs w:val="24"/>
        </w:rPr>
        <w:t>Brady</w:t>
      </w:r>
      <w:r>
        <w:rPr>
          <w:sz w:val="24"/>
          <w:szCs w:val="24"/>
        </w:rPr>
        <w:t xml:space="preserve">. That argument is not just dishonest; it’s offensive. Disclosure in an </w:t>
      </w:r>
      <w:r>
        <w:rPr>
          <w:sz w:val="24"/>
          <w:szCs w:val="24"/>
        </w:rPr>
        <w:lastRenderedPageBreak/>
        <w:t xml:space="preserve">unrelated case, </w:t>
      </w:r>
      <w:r w:rsidRPr="00A4125A">
        <w:rPr>
          <w:b/>
          <w:i/>
          <w:sz w:val="24"/>
          <w:szCs w:val="24"/>
        </w:rPr>
        <w:t>years before my case was ever charged</w:t>
      </w:r>
      <w:r>
        <w:rPr>
          <w:sz w:val="24"/>
          <w:szCs w:val="24"/>
        </w:rPr>
        <w:t xml:space="preserve">, cannot possibly fulfill the duty to disclose exculpatory evidence </w:t>
      </w:r>
      <w:r w:rsidRPr="00A4125A">
        <w:rPr>
          <w:b/>
          <w:i/>
          <w:sz w:val="24"/>
          <w:szCs w:val="24"/>
        </w:rPr>
        <w:t>in my case</w:t>
      </w:r>
      <w:r>
        <w:rPr>
          <w:sz w:val="24"/>
          <w:szCs w:val="24"/>
        </w:rPr>
        <w:t xml:space="preserve">. The attorney who received the unrelated file was long deceased by the time I was indicted, and my defense counsel had no reason or right to search someone else’s case file for </w:t>
      </w:r>
      <w:r w:rsidRPr="005E224C">
        <w:rPr>
          <w:i/>
          <w:sz w:val="24"/>
          <w:szCs w:val="24"/>
        </w:rPr>
        <w:t>Brady</w:t>
      </w:r>
      <w:r>
        <w:rPr>
          <w:sz w:val="24"/>
          <w:szCs w:val="24"/>
        </w:rPr>
        <w:t xml:space="preserve"> material relevant to hers and mine.</w:t>
      </w:r>
    </w:p>
    <w:p w:rsidR="004C2A6B" w:rsidRDefault="004C2A6B" w:rsidP="00D75829">
      <w:pPr>
        <w:spacing w:after="240" w:line="360" w:lineRule="auto"/>
        <w:jc w:val="both"/>
        <w:rPr>
          <w:sz w:val="24"/>
          <w:szCs w:val="24"/>
        </w:rPr>
      </w:pPr>
      <w:r>
        <w:rPr>
          <w:sz w:val="24"/>
          <w:szCs w:val="24"/>
        </w:rPr>
        <w:tab/>
        <w:t xml:space="preserve">By any reasonable measure – morally, ethically, or constitutionally – this was a </w:t>
      </w:r>
      <w:r w:rsidRPr="005E224C">
        <w:rPr>
          <w:i/>
          <w:sz w:val="24"/>
          <w:szCs w:val="24"/>
        </w:rPr>
        <w:t>Brady</w:t>
      </w:r>
      <w:r>
        <w:rPr>
          <w:sz w:val="24"/>
          <w:szCs w:val="24"/>
        </w:rPr>
        <w:t xml:space="preserve"> violation of the highest order.</w:t>
      </w:r>
    </w:p>
    <w:p w:rsidR="004C2A6B" w:rsidRDefault="004C2A6B" w:rsidP="00D75829">
      <w:pPr>
        <w:spacing w:after="240" w:line="360" w:lineRule="auto"/>
        <w:jc w:val="both"/>
        <w:rPr>
          <w:sz w:val="24"/>
          <w:szCs w:val="24"/>
        </w:rPr>
      </w:pPr>
      <w:r>
        <w:rPr>
          <w:sz w:val="24"/>
          <w:szCs w:val="24"/>
        </w:rPr>
        <w:tab/>
        <w:t>The State’s claim that it met its constitutional duty by burying exculpatory evidence in a different case file is the legal equivalent of hiding the truth in a graveyard and then blaming the dead for not finding it.</w:t>
      </w:r>
      <w:r w:rsidR="001501DD" w:rsidRPr="001501DD">
        <w:rPr>
          <w:sz w:val="24"/>
          <w:szCs w:val="24"/>
        </w:rPr>
        <w:t xml:space="preserve"> </w:t>
      </w:r>
      <w:r w:rsidR="001501DD">
        <w:rPr>
          <w:sz w:val="24"/>
          <w:szCs w:val="24"/>
        </w:rPr>
        <w:t xml:space="preserve">Because Paul Talley’s – and, in turn, Torrey Glenn’s – testimonies were the only direct “evidence” of my supposed-guilt, the jury’s assessments of their credibility was material and necessarily determinative. See </w:t>
      </w:r>
      <w:r w:rsidR="001501DD" w:rsidRPr="00CF7FF4">
        <w:rPr>
          <w:i/>
          <w:sz w:val="24"/>
          <w:szCs w:val="24"/>
        </w:rPr>
        <w:t>Glossip</w:t>
      </w:r>
      <w:r w:rsidR="001501DD">
        <w:rPr>
          <w:sz w:val="24"/>
          <w:szCs w:val="24"/>
        </w:rPr>
        <w:t xml:space="preserve"> at 614. Had my defense had the undisclosed interview, I would have been able to undermine their credibilities and revealed their willingness to lie to save their own skin. Furthermore, it would have directly contradicted the prosecution’s portrayal of me as the victim’s killer. Hence, there is a strong likelihood that this would have affected the judgment of the jury. </w:t>
      </w:r>
      <w:r w:rsidR="001501DD" w:rsidRPr="00CF7FF4">
        <w:rPr>
          <w:i/>
          <w:sz w:val="24"/>
          <w:szCs w:val="24"/>
        </w:rPr>
        <w:t>Id.</w:t>
      </w:r>
      <w:r w:rsidR="001501DD">
        <w:rPr>
          <w:sz w:val="24"/>
          <w:szCs w:val="24"/>
        </w:rPr>
        <w:t xml:space="preserve"> at 614.</w:t>
      </w:r>
    </w:p>
    <w:p w:rsidR="004C2A6B" w:rsidRDefault="004C2A6B" w:rsidP="004C2A6B">
      <w:pPr>
        <w:spacing w:after="240" w:line="360" w:lineRule="auto"/>
        <w:jc w:val="center"/>
        <w:rPr>
          <w:b/>
          <w:sz w:val="24"/>
          <w:szCs w:val="24"/>
        </w:rPr>
      </w:pPr>
      <w:r>
        <w:rPr>
          <w:b/>
          <w:sz w:val="24"/>
          <w:szCs w:val="24"/>
        </w:rPr>
        <w:t>Section IV – Rebuttal on Actual Innocence</w:t>
      </w:r>
    </w:p>
    <w:p w:rsidR="004C2A6B" w:rsidRDefault="004C2A6B" w:rsidP="004C2A6B">
      <w:pPr>
        <w:spacing w:after="240" w:line="360" w:lineRule="auto"/>
        <w:jc w:val="both"/>
        <w:rPr>
          <w:sz w:val="24"/>
          <w:szCs w:val="24"/>
        </w:rPr>
      </w:pPr>
      <w:r>
        <w:rPr>
          <w:sz w:val="24"/>
          <w:szCs w:val="24"/>
        </w:rPr>
        <w:tab/>
        <w:t xml:space="preserve">This is where everything comes full circle – where truth, morality, and the Constitution all meet. Because the fact is this: I am innocent. And the evidence that has finally come to light doesn’t just </w:t>
      </w:r>
      <w:r w:rsidRPr="00A4125A">
        <w:rPr>
          <w:b/>
          <w:i/>
          <w:sz w:val="24"/>
          <w:szCs w:val="24"/>
        </w:rPr>
        <w:t>suggest</w:t>
      </w:r>
      <w:r>
        <w:rPr>
          <w:sz w:val="24"/>
          <w:szCs w:val="24"/>
        </w:rPr>
        <w:t xml:space="preserve"> my innocence – it </w:t>
      </w:r>
      <w:r w:rsidRPr="00A4125A">
        <w:rPr>
          <w:b/>
          <w:i/>
          <w:sz w:val="24"/>
          <w:szCs w:val="24"/>
        </w:rPr>
        <w:t>proves</w:t>
      </w:r>
      <w:r>
        <w:rPr>
          <w:sz w:val="24"/>
          <w:szCs w:val="24"/>
        </w:rPr>
        <w:t xml:space="preserve"> it beyond any fair-minded doubt.</w:t>
      </w:r>
    </w:p>
    <w:p w:rsidR="004C2A6B" w:rsidRDefault="004C2A6B" w:rsidP="004C2A6B">
      <w:pPr>
        <w:spacing w:after="240" w:line="360" w:lineRule="auto"/>
        <w:jc w:val="both"/>
        <w:rPr>
          <w:sz w:val="24"/>
          <w:szCs w:val="24"/>
        </w:rPr>
      </w:pPr>
      <w:r>
        <w:rPr>
          <w:sz w:val="24"/>
          <w:szCs w:val="24"/>
        </w:rPr>
        <w:tab/>
        <w:t>For over two decades, the State of Tennessee has relied on the false testimony of Torrey Leevale Glenn – a man who had every reason to lie and every incentive to save himself. Glenn wasn’t just a bystander to this crime; he was involved. He cut a deal with the State</w:t>
      </w:r>
      <w:r w:rsidR="00DD3F32">
        <w:rPr>
          <w:sz w:val="24"/>
          <w:szCs w:val="24"/>
        </w:rPr>
        <w:t xml:space="preserve"> that guaranteed he wouldn’t serve a single day behind bars for a murder that his own family knows was committed by his brother. And in exchange for that freedom, he did the one thing desperate men often do when cornered: he lied.</w:t>
      </w:r>
    </w:p>
    <w:p w:rsidR="00DD3F32" w:rsidRDefault="00DD3F32" w:rsidP="004C2A6B">
      <w:pPr>
        <w:spacing w:after="240" w:line="360" w:lineRule="auto"/>
        <w:jc w:val="both"/>
        <w:rPr>
          <w:sz w:val="24"/>
          <w:szCs w:val="24"/>
        </w:rPr>
      </w:pPr>
      <w:r>
        <w:rPr>
          <w:sz w:val="24"/>
          <w:szCs w:val="24"/>
        </w:rPr>
        <w:tab/>
        <w:t>He lied to protect himself.</w:t>
      </w:r>
    </w:p>
    <w:p w:rsidR="00DD3F32" w:rsidRDefault="00DD3F32" w:rsidP="004C2A6B">
      <w:pPr>
        <w:spacing w:after="240" w:line="360" w:lineRule="auto"/>
        <w:jc w:val="both"/>
        <w:rPr>
          <w:sz w:val="24"/>
          <w:szCs w:val="24"/>
        </w:rPr>
      </w:pPr>
      <w:r>
        <w:rPr>
          <w:sz w:val="24"/>
          <w:szCs w:val="24"/>
        </w:rPr>
        <w:tab/>
        <w:t>He lied to protect his brother.</w:t>
      </w:r>
    </w:p>
    <w:p w:rsidR="00DD3F32" w:rsidRDefault="00DD3F32" w:rsidP="004C2A6B">
      <w:pPr>
        <w:spacing w:after="240" w:line="360" w:lineRule="auto"/>
        <w:jc w:val="both"/>
        <w:rPr>
          <w:sz w:val="24"/>
          <w:szCs w:val="24"/>
        </w:rPr>
      </w:pPr>
      <w:r>
        <w:rPr>
          <w:sz w:val="24"/>
          <w:szCs w:val="24"/>
        </w:rPr>
        <w:lastRenderedPageBreak/>
        <w:tab/>
        <w:t>And the State – fully aware of these motives – chose to build their case on his deception anyway, because the truth would have freed me and exposed their misconduct.</w:t>
      </w:r>
    </w:p>
    <w:p w:rsidR="00DD3F32" w:rsidRPr="001B3220" w:rsidRDefault="00DD3F32" w:rsidP="004C2A6B">
      <w:pPr>
        <w:spacing w:after="240" w:line="360" w:lineRule="auto"/>
        <w:jc w:val="both"/>
        <w:rPr>
          <w:i/>
          <w:sz w:val="24"/>
          <w:szCs w:val="24"/>
        </w:rPr>
      </w:pPr>
      <w:r>
        <w:rPr>
          <w:sz w:val="24"/>
          <w:szCs w:val="24"/>
        </w:rPr>
        <w:tab/>
        <w:t xml:space="preserve">Then there’s the testimony of </w:t>
      </w:r>
      <w:r w:rsidRPr="00A4125A">
        <w:rPr>
          <w:b/>
          <w:i/>
          <w:sz w:val="24"/>
          <w:szCs w:val="24"/>
        </w:rPr>
        <w:t>Paul and Fred Talley</w:t>
      </w:r>
      <w:r>
        <w:rPr>
          <w:sz w:val="24"/>
          <w:szCs w:val="24"/>
        </w:rPr>
        <w:t xml:space="preserve">. Their statements are not ambiguous; they are exonerating. They clearly establish that </w:t>
      </w:r>
      <w:r w:rsidRPr="00A4125A">
        <w:rPr>
          <w:b/>
          <w:i/>
          <w:sz w:val="24"/>
          <w:szCs w:val="24"/>
        </w:rPr>
        <w:t>I was not the shooter</w:t>
      </w:r>
      <w:r>
        <w:rPr>
          <w:sz w:val="24"/>
          <w:szCs w:val="24"/>
        </w:rPr>
        <w:t xml:space="preserve">. Even the buried Paul Talley interview – hidden for more than 20 years – confirms this in plain language: </w:t>
      </w:r>
      <w:r w:rsidRPr="001B3220">
        <w:rPr>
          <w:i/>
          <w:sz w:val="24"/>
          <w:szCs w:val="24"/>
        </w:rPr>
        <w:t>“I know who did it, I just don’t know his name.”</w:t>
      </w:r>
    </w:p>
    <w:p w:rsidR="00DD3F32" w:rsidRDefault="00DD3F32" w:rsidP="004C2A6B">
      <w:pPr>
        <w:spacing w:after="240" w:line="360" w:lineRule="auto"/>
        <w:jc w:val="both"/>
        <w:rPr>
          <w:sz w:val="24"/>
          <w:szCs w:val="24"/>
        </w:rPr>
      </w:pPr>
      <w:r>
        <w:rPr>
          <w:sz w:val="24"/>
          <w:szCs w:val="24"/>
        </w:rPr>
        <w:tab/>
        <w:t>That is not an uncertain statement – it’s an exculpation that should have been heard by the jury. It says that someone else was the killer, not me.</w:t>
      </w:r>
    </w:p>
    <w:p w:rsidR="00DD3F32" w:rsidRDefault="00DD3F32" w:rsidP="004C2A6B">
      <w:pPr>
        <w:spacing w:after="240" w:line="360" w:lineRule="auto"/>
        <w:jc w:val="both"/>
        <w:rPr>
          <w:sz w:val="24"/>
          <w:szCs w:val="24"/>
        </w:rPr>
      </w:pPr>
      <w:r>
        <w:rPr>
          <w:sz w:val="24"/>
          <w:szCs w:val="24"/>
        </w:rPr>
        <w:tab/>
        <w:t>But the State’s entire theory of this case depends on pretending that those words don’t exist, or that they somehow mean something else. In one breath, the prosecution claims I was the shooter; in the next, they claim I might not have been, but was “still involved.” When the evidence doesn’t fit their narrative, they twist the narrative to fit the evidence.</w:t>
      </w:r>
    </w:p>
    <w:p w:rsidR="00DD3F32" w:rsidRDefault="00DD3F32" w:rsidP="004C2A6B">
      <w:pPr>
        <w:spacing w:after="240" w:line="360" w:lineRule="auto"/>
        <w:jc w:val="both"/>
        <w:rPr>
          <w:sz w:val="24"/>
          <w:szCs w:val="24"/>
        </w:rPr>
      </w:pPr>
      <w:r>
        <w:rPr>
          <w:sz w:val="24"/>
          <w:szCs w:val="24"/>
        </w:rPr>
        <w:tab/>
        <w:t>Which is it today? Was I the shooter, the accomplice, or just the scapegoat? The State can’t even keep its own story straight, because the story itself is a lie built on lies.</w:t>
      </w:r>
    </w:p>
    <w:p w:rsidR="00DD3F32" w:rsidRDefault="00DD3F32" w:rsidP="004C2A6B">
      <w:pPr>
        <w:spacing w:after="240" w:line="360" w:lineRule="auto"/>
        <w:jc w:val="both"/>
        <w:rPr>
          <w:sz w:val="24"/>
          <w:szCs w:val="24"/>
        </w:rPr>
      </w:pPr>
      <w:r>
        <w:rPr>
          <w:sz w:val="24"/>
          <w:szCs w:val="24"/>
        </w:rPr>
        <w:tab/>
        <w:t>Every version of their theory collapses under the weight of the facts:</w:t>
      </w:r>
    </w:p>
    <w:p w:rsidR="00DD3F32" w:rsidRDefault="00DD3F32" w:rsidP="00B44633">
      <w:pPr>
        <w:pStyle w:val="ListParagraph"/>
        <w:numPr>
          <w:ilvl w:val="0"/>
          <w:numId w:val="2"/>
        </w:numPr>
        <w:spacing w:line="360" w:lineRule="auto"/>
        <w:jc w:val="both"/>
        <w:rPr>
          <w:sz w:val="24"/>
          <w:szCs w:val="24"/>
        </w:rPr>
      </w:pPr>
      <w:r>
        <w:rPr>
          <w:sz w:val="24"/>
          <w:szCs w:val="24"/>
        </w:rPr>
        <w:t>If Paul Talley’s first interview – the hidden one – had been disclosed, this conviction could have never stood.</w:t>
      </w:r>
    </w:p>
    <w:p w:rsidR="00B44633" w:rsidRPr="00B44633" w:rsidRDefault="00B44633" w:rsidP="00B44633">
      <w:pPr>
        <w:pStyle w:val="ListParagraph"/>
        <w:spacing w:line="360" w:lineRule="auto"/>
        <w:jc w:val="both"/>
        <w:rPr>
          <w:sz w:val="12"/>
          <w:szCs w:val="12"/>
        </w:rPr>
      </w:pPr>
    </w:p>
    <w:p w:rsidR="001B3220" w:rsidRDefault="001B3220" w:rsidP="00B44633">
      <w:pPr>
        <w:pStyle w:val="ListParagraph"/>
        <w:numPr>
          <w:ilvl w:val="0"/>
          <w:numId w:val="2"/>
        </w:numPr>
        <w:spacing w:line="360" w:lineRule="auto"/>
        <w:jc w:val="both"/>
        <w:rPr>
          <w:sz w:val="24"/>
          <w:szCs w:val="24"/>
        </w:rPr>
      </w:pPr>
      <w:r>
        <w:rPr>
          <w:sz w:val="24"/>
          <w:szCs w:val="24"/>
        </w:rPr>
        <w:t>If Fred Talley had testified truthfully at trial as he does today,</w:t>
      </w:r>
      <w:r>
        <w:rPr>
          <w:rStyle w:val="FootnoteReference"/>
          <w:sz w:val="24"/>
          <w:szCs w:val="24"/>
        </w:rPr>
        <w:footnoteReference w:id="1"/>
      </w:r>
      <w:r>
        <w:rPr>
          <w:sz w:val="24"/>
          <w:szCs w:val="24"/>
        </w:rPr>
        <w:t xml:space="preserve"> the State would have had no pretension of “corroboration” of my involvement in a murder clear across town hours later.</w:t>
      </w:r>
    </w:p>
    <w:p w:rsidR="00B44633" w:rsidRPr="00B44633" w:rsidRDefault="00B44633" w:rsidP="00B44633">
      <w:pPr>
        <w:pStyle w:val="ListParagraph"/>
        <w:spacing w:line="360" w:lineRule="auto"/>
        <w:jc w:val="both"/>
        <w:rPr>
          <w:sz w:val="12"/>
          <w:szCs w:val="12"/>
        </w:rPr>
      </w:pPr>
    </w:p>
    <w:p w:rsidR="00B44633" w:rsidRDefault="00DD3F32" w:rsidP="00B44633">
      <w:pPr>
        <w:pStyle w:val="ListParagraph"/>
        <w:numPr>
          <w:ilvl w:val="0"/>
          <w:numId w:val="2"/>
        </w:numPr>
        <w:spacing w:line="360" w:lineRule="auto"/>
        <w:jc w:val="both"/>
        <w:rPr>
          <w:sz w:val="24"/>
          <w:szCs w:val="24"/>
        </w:rPr>
      </w:pPr>
      <w:r>
        <w:rPr>
          <w:sz w:val="24"/>
          <w:szCs w:val="24"/>
        </w:rPr>
        <w:t>If the jury had heard Torrey Glenn’s full motives and deals, his testimony would have been laughed out of the courtroom.</w:t>
      </w:r>
    </w:p>
    <w:p w:rsidR="00B44633" w:rsidRPr="00B44633" w:rsidRDefault="00B44633" w:rsidP="00B44633">
      <w:pPr>
        <w:pStyle w:val="ListParagraph"/>
        <w:spacing w:line="360" w:lineRule="auto"/>
        <w:jc w:val="both"/>
        <w:rPr>
          <w:sz w:val="12"/>
          <w:szCs w:val="12"/>
        </w:rPr>
      </w:pPr>
    </w:p>
    <w:p w:rsidR="00DD3F32" w:rsidRDefault="00DD3F32" w:rsidP="00B44633">
      <w:pPr>
        <w:pStyle w:val="ListParagraph"/>
        <w:numPr>
          <w:ilvl w:val="0"/>
          <w:numId w:val="2"/>
        </w:numPr>
        <w:spacing w:line="360" w:lineRule="auto"/>
        <w:jc w:val="both"/>
        <w:rPr>
          <w:sz w:val="24"/>
          <w:szCs w:val="24"/>
        </w:rPr>
      </w:pPr>
      <w:r>
        <w:rPr>
          <w:sz w:val="24"/>
          <w:szCs w:val="24"/>
        </w:rPr>
        <w:t>If my defense had been armed with the truth that the real killer was Glenn’s own brother, I would have walked free decades ago.</w:t>
      </w:r>
    </w:p>
    <w:p w:rsidR="00403EE9" w:rsidRDefault="00403EE9" w:rsidP="00403EE9">
      <w:pPr>
        <w:spacing w:after="240" w:line="360" w:lineRule="auto"/>
        <w:jc w:val="both"/>
        <w:rPr>
          <w:sz w:val="24"/>
          <w:szCs w:val="24"/>
        </w:rPr>
      </w:pPr>
      <w:r>
        <w:rPr>
          <w:sz w:val="24"/>
          <w:szCs w:val="24"/>
        </w:rPr>
        <w:lastRenderedPageBreak/>
        <w:t xml:space="preserve">Taken together, this new evidence </w:t>
      </w:r>
      <w:r w:rsidRPr="00A4125A">
        <w:rPr>
          <w:b/>
          <w:i/>
          <w:sz w:val="24"/>
          <w:szCs w:val="24"/>
        </w:rPr>
        <w:t>meets and exceeds</w:t>
      </w:r>
      <w:r>
        <w:rPr>
          <w:sz w:val="24"/>
          <w:szCs w:val="24"/>
        </w:rPr>
        <w:t xml:space="preserve"> the “clear and convincing” standard required under </w:t>
      </w:r>
      <w:r w:rsidRPr="00623DD6">
        <w:rPr>
          <w:i/>
          <w:sz w:val="24"/>
          <w:szCs w:val="24"/>
        </w:rPr>
        <w:t>Schlup v. Delo</w:t>
      </w:r>
      <w:r>
        <w:rPr>
          <w:sz w:val="24"/>
          <w:szCs w:val="24"/>
        </w:rPr>
        <w:t>,</w:t>
      </w:r>
      <w:r w:rsidR="00BE7777">
        <w:rPr>
          <w:rStyle w:val="FootnoteReference"/>
          <w:sz w:val="24"/>
          <w:szCs w:val="24"/>
        </w:rPr>
        <w:footnoteReference w:id="2"/>
      </w:r>
      <w:r w:rsidR="00BE7777">
        <w:rPr>
          <w:sz w:val="24"/>
          <w:szCs w:val="24"/>
        </w:rPr>
        <w:t xml:space="preserve"> </w:t>
      </w:r>
      <w:r w:rsidRPr="00623DD6">
        <w:rPr>
          <w:i/>
          <w:sz w:val="24"/>
          <w:szCs w:val="24"/>
        </w:rPr>
        <w:t>House v. Bell</w:t>
      </w:r>
      <w:r>
        <w:rPr>
          <w:sz w:val="24"/>
          <w:szCs w:val="24"/>
        </w:rPr>
        <w:t>,</w:t>
      </w:r>
      <w:r w:rsidR="00BE7777">
        <w:rPr>
          <w:rStyle w:val="FootnoteReference"/>
          <w:sz w:val="24"/>
          <w:szCs w:val="24"/>
        </w:rPr>
        <w:footnoteReference w:id="3"/>
      </w:r>
      <w:r>
        <w:rPr>
          <w:sz w:val="24"/>
          <w:szCs w:val="24"/>
        </w:rPr>
        <w:t xml:space="preserve"> and </w:t>
      </w:r>
      <w:r w:rsidRPr="00623DD6">
        <w:rPr>
          <w:i/>
          <w:sz w:val="24"/>
          <w:szCs w:val="24"/>
        </w:rPr>
        <w:t>McQuiggin v. Perkins</w:t>
      </w:r>
      <w:r>
        <w:rPr>
          <w:sz w:val="24"/>
          <w:szCs w:val="24"/>
        </w:rPr>
        <w:t>.</w:t>
      </w:r>
      <w:r w:rsidR="00BE7777">
        <w:rPr>
          <w:rStyle w:val="FootnoteReference"/>
          <w:sz w:val="24"/>
          <w:szCs w:val="24"/>
        </w:rPr>
        <w:footnoteReference w:id="4"/>
      </w:r>
      <w:r>
        <w:rPr>
          <w:sz w:val="24"/>
          <w:szCs w:val="24"/>
        </w:rPr>
        <w:t xml:space="preserve"> These cases don’t just recognize the possibility of innocence – they demand that courts act when new, reliable evidence shows a wrongful conviction.</w:t>
      </w:r>
    </w:p>
    <w:p w:rsidR="00403EE9" w:rsidRDefault="00403EE9" w:rsidP="00403EE9">
      <w:pPr>
        <w:spacing w:after="240" w:line="360" w:lineRule="auto"/>
        <w:jc w:val="both"/>
        <w:rPr>
          <w:sz w:val="24"/>
          <w:szCs w:val="24"/>
        </w:rPr>
      </w:pPr>
      <w:r>
        <w:rPr>
          <w:sz w:val="24"/>
          <w:szCs w:val="24"/>
        </w:rPr>
        <w:tab/>
        <w:t xml:space="preserve">As the Supreme Court stated in </w:t>
      </w:r>
      <w:r w:rsidRPr="00623DD6">
        <w:rPr>
          <w:i/>
          <w:sz w:val="24"/>
          <w:szCs w:val="24"/>
        </w:rPr>
        <w:t>Schlup</w:t>
      </w:r>
      <w:r>
        <w:rPr>
          <w:sz w:val="24"/>
          <w:szCs w:val="24"/>
        </w:rPr>
        <w:t xml:space="preserve">, “The miscarriage of justice exception applies to protect the innocent from a fundamentally unjust incarceration.” That is my case exactly. I am the living embodiment of what </w:t>
      </w:r>
      <w:r w:rsidRPr="00623DD6">
        <w:rPr>
          <w:i/>
          <w:sz w:val="24"/>
          <w:szCs w:val="24"/>
        </w:rPr>
        <w:t>Schlup</w:t>
      </w:r>
      <w:r>
        <w:rPr>
          <w:sz w:val="24"/>
          <w:szCs w:val="24"/>
        </w:rPr>
        <w:t xml:space="preserve"> was written for – a man condemned by deceit, still standing on truth.</w:t>
      </w:r>
    </w:p>
    <w:p w:rsidR="00403EE9" w:rsidRDefault="00403EE9" w:rsidP="00403EE9">
      <w:pPr>
        <w:spacing w:after="240" w:line="360" w:lineRule="auto"/>
        <w:jc w:val="both"/>
        <w:rPr>
          <w:sz w:val="24"/>
          <w:szCs w:val="24"/>
        </w:rPr>
      </w:pPr>
      <w:r>
        <w:rPr>
          <w:sz w:val="24"/>
          <w:szCs w:val="24"/>
        </w:rPr>
        <w:tab/>
        <w:t xml:space="preserve">This is not about re-arguing guilt or innocence in a technical sense. It is about </w:t>
      </w:r>
      <w:r w:rsidRPr="00A4125A">
        <w:rPr>
          <w:b/>
          <w:i/>
          <w:sz w:val="24"/>
          <w:szCs w:val="24"/>
        </w:rPr>
        <w:t>preventing a constitutional atrocity</w:t>
      </w:r>
      <w:r w:rsidRPr="00A4125A">
        <w:rPr>
          <w:b/>
          <w:sz w:val="24"/>
          <w:szCs w:val="24"/>
        </w:rPr>
        <w:t xml:space="preserve">. </w:t>
      </w:r>
      <w:r>
        <w:rPr>
          <w:sz w:val="24"/>
          <w:szCs w:val="24"/>
        </w:rPr>
        <w:t>It is about ending the imprisonment of a man the evidence now proves did not commit this crime.</w:t>
      </w:r>
    </w:p>
    <w:p w:rsidR="00BE7777" w:rsidRDefault="00BE7777" w:rsidP="00BE7777">
      <w:pPr>
        <w:pStyle w:val="ListParagraph"/>
        <w:spacing w:after="240" w:line="276" w:lineRule="auto"/>
        <w:ind w:right="720"/>
        <w:jc w:val="both"/>
        <w:rPr>
          <w:sz w:val="24"/>
          <w:szCs w:val="24"/>
        </w:rPr>
      </w:pPr>
      <w:r>
        <w:rPr>
          <w:sz w:val="24"/>
          <w:szCs w:val="24"/>
        </w:rPr>
        <w:t xml:space="preserve">“If, for example, one of only two eyewitnesses to a crime had told the prosecutor that the defendant was definitely not its perpetrator and if this statement was not disclosed to the defense, no court would hesitate to reverse a conviction resting on the testimony of the other eyewitness.” </w:t>
      </w:r>
      <w:r w:rsidRPr="00052F72">
        <w:rPr>
          <w:i/>
          <w:sz w:val="24"/>
          <w:szCs w:val="24"/>
        </w:rPr>
        <w:t>U.S.</w:t>
      </w:r>
      <w:r w:rsidR="009610F8">
        <w:rPr>
          <w:i/>
          <w:sz w:val="24"/>
          <w:szCs w:val="24"/>
        </w:rPr>
        <w:t xml:space="preserve"> v.</w:t>
      </w:r>
      <w:bookmarkStart w:id="2" w:name="_GoBack"/>
      <w:bookmarkEnd w:id="2"/>
      <w:r w:rsidRPr="00052F72">
        <w:rPr>
          <w:i/>
          <w:sz w:val="24"/>
          <w:szCs w:val="24"/>
        </w:rPr>
        <w:t xml:space="preserve"> Agurs</w:t>
      </w:r>
      <w:r>
        <w:rPr>
          <w:sz w:val="24"/>
          <w:szCs w:val="24"/>
        </w:rPr>
        <w:t>, 427 U.S. 97, 96 S.Ct. 2392, 49 L.Ed.2d 342 (1976).</w:t>
      </w:r>
    </w:p>
    <w:p w:rsidR="00403EE9" w:rsidRDefault="00403EE9" w:rsidP="00403EE9">
      <w:pPr>
        <w:spacing w:after="240" w:line="360" w:lineRule="auto"/>
        <w:jc w:val="both"/>
        <w:rPr>
          <w:sz w:val="24"/>
          <w:szCs w:val="24"/>
        </w:rPr>
      </w:pPr>
      <w:r>
        <w:rPr>
          <w:sz w:val="24"/>
          <w:szCs w:val="24"/>
        </w:rPr>
        <w:tab/>
      </w:r>
      <w:r w:rsidRPr="00BE7777">
        <w:rPr>
          <w:i/>
          <w:sz w:val="24"/>
          <w:szCs w:val="24"/>
        </w:rPr>
        <w:t>No</w:t>
      </w:r>
      <w:r>
        <w:rPr>
          <w:sz w:val="24"/>
          <w:szCs w:val="24"/>
        </w:rPr>
        <w:t xml:space="preserve"> reasonable juror, having heard the suppressed </w:t>
      </w:r>
      <w:r w:rsidR="00996BF2">
        <w:rPr>
          <w:sz w:val="24"/>
          <w:szCs w:val="24"/>
        </w:rPr>
        <w:t xml:space="preserve">Paul </w:t>
      </w:r>
      <w:r>
        <w:rPr>
          <w:sz w:val="24"/>
          <w:szCs w:val="24"/>
        </w:rPr>
        <w:t>Talley interview</w:t>
      </w:r>
      <w:r w:rsidR="00BE7777">
        <w:rPr>
          <w:sz w:val="24"/>
          <w:szCs w:val="24"/>
        </w:rPr>
        <w:t>, Fred Talley’s now truthful testimony,</w:t>
      </w:r>
      <w:r>
        <w:rPr>
          <w:sz w:val="24"/>
          <w:szCs w:val="24"/>
        </w:rPr>
        <w:t xml:space="preserve"> and the truth about Torrey Glenn’s motives, could have found me guilty beyond a reasonable doubt. In fact, </w:t>
      </w:r>
      <w:r w:rsidRPr="00BE7777">
        <w:rPr>
          <w:i/>
          <w:sz w:val="24"/>
          <w:szCs w:val="24"/>
        </w:rPr>
        <w:t>no</w:t>
      </w:r>
      <w:r>
        <w:rPr>
          <w:sz w:val="24"/>
          <w:szCs w:val="24"/>
        </w:rPr>
        <w:t xml:space="preserve"> honest juror could have found me guilty </w:t>
      </w:r>
      <w:r w:rsidRPr="00996BF2">
        <w:rPr>
          <w:i/>
          <w:sz w:val="24"/>
          <w:szCs w:val="24"/>
        </w:rPr>
        <w:t>at all</w:t>
      </w:r>
      <w:r>
        <w:rPr>
          <w:sz w:val="24"/>
          <w:szCs w:val="24"/>
        </w:rPr>
        <w:t>.</w:t>
      </w:r>
    </w:p>
    <w:p w:rsidR="00403EE9" w:rsidRDefault="00403EE9" w:rsidP="00403EE9">
      <w:pPr>
        <w:spacing w:after="240" w:line="360" w:lineRule="auto"/>
        <w:jc w:val="both"/>
        <w:rPr>
          <w:sz w:val="24"/>
          <w:szCs w:val="24"/>
        </w:rPr>
      </w:pPr>
      <w:r>
        <w:rPr>
          <w:sz w:val="24"/>
          <w:szCs w:val="24"/>
        </w:rPr>
        <w:tab/>
        <w:t xml:space="preserve">After 24 years of wrongful imprisonment, I have lost nearly half my life </w:t>
      </w:r>
      <w:r w:rsidR="00996BF2">
        <w:rPr>
          <w:sz w:val="24"/>
          <w:szCs w:val="24"/>
        </w:rPr>
        <w:t xml:space="preserve">to </w:t>
      </w:r>
      <w:r>
        <w:rPr>
          <w:sz w:val="24"/>
          <w:szCs w:val="24"/>
        </w:rPr>
        <w:t>this lie. But what I have not lost is my belief that truth still matters – that justice, though delayed, must not be denied. That’s the only reason I stand before you alive today – or I would have committed suicide decades ago.</w:t>
      </w:r>
    </w:p>
    <w:p w:rsidR="00403EE9" w:rsidRDefault="00403EE9" w:rsidP="00403EE9">
      <w:pPr>
        <w:spacing w:after="240" w:line="360" w:lineRule="auto"/>
        <w:jc w:val="both"/>
        <w:rPr>
          <w:sz w:val="24"/>
          <w:szCs w:val="24"/>
        </w:rPr>
      </w:pPr>
      <w:r>
        <w:rPr>
          <w:sz w:val="24"/>
          <w:szCs w:val="24"/>
        </w:rPr>
        <w:tab/>
        <w:t xml:space="preserve">This Court now has before it what no jury ever did: </w:t>
      </w:r>
      <w:r w:rsidRPr="00A4125A">
        <w:rPr>
          <w:b/>
          <w:i/>
          <w:sz w:val="24"/>
          <w:szCs w:val="24"/>
        </w:rPr>
        <w:t>the truth.</w:t>
      </w:r>
      <w:r>
        <w:rPr>
          <w:sz w:val="24"/>
          <w:szCs w:val="24"/>
        </w:rPr>
        <w:t xml:space="preserve"> And with that truth comes a duty – a moral and constitutional obligation – to act.</w:t>
      </w:r>
    </w:p>
    <w:p w:rsidR="00E959C3" w:rsidRDefault="00E959C3" w:rsidP="00E959C3">
      <w:pPr>
        <w:spacing w:after="240" w:line="360" w:lineRule="auto"/>
        <w:jc w:val="center"/>
        <w:rPr>
          <w:b/>
          <w:sz w:val="24"/>
          <w:szCs w:val="24"/>
        </w:rPr>
      </w:pPr>
      <w:r>
        <w:rPr>
          <w:b/>
          <w:sz w:val="24"/>
          <w:szCs w:val="24"/>
        </w:rPr>
        <w:lastRenderedPageBreak/>
        <w:t xml:space="preserve">Section V – Conclusion </w:t>
      </w:r>
    </w:p>
    <w:p w:rsidR="00E959C3" w:rsidRDefault="00E959C3" w:rsidP="00E959C3">
      <w:pPr>
        <w:spacing w:after="240" w:line="360" w:lineRule="auto"/>
        <w:jc w:val="both"/>
        <w:rPr>
          <w:sz w:val="24"/>
          <w:szCs w:val="24"/>
        </w:rPr>
      </w:pPr>
      <w:r>
        <w:rPr>
          <w:sz w:val="24"/>
          <w:szCs w:val="24"/>
        </w:rPr>
        <w:tab/>
        <w:t>After nearly a quarter of a century in a cell for a crime I did not commit, I stand before this Court not as a broken man, but as a living testament to both the failure and the promise of American justice.</w:t>
      </w:r>
    </w:p>
    <w:p w:rsidR="00E959C3" w:rsidRDefault="00E959C3" w:rsidP="00E959C3">
      <w:pPr>
        <w:spacing w:after="240" w:line="360" w:lineRule="auto"/>
        <w:jc w:val="both"/>
        <w:rPr>
          <w:sz w:val="24"/>
          <w:szCs w:val="24"/>
        </w:rPr>
      </w:pPr>
      <w:r>
        <w:rPr>
          <w:sz w:val="24"/>
          <w:szCs w:val="24"/>
        </w:rPr>
        <w:tab/>
        <w:t>Everything I’ve laid out in this Reply – the buried interview, the false testimon</w:t>
      </w:r>
      <w:r w:rsidR="00996BF2">
        <w:rPr>
          <w:sz w:val="24"/>
          <w:szCs w:val="24"/>
        </w:rPr>
        <w:t>ies</w:t>
      </w:r>
      <w:r>
        <w:rPr>
          <w:sz w:val="24"/>
          <w:szCs w:val="24"/>
        </w:rPr>
        <w:t xml:space="preserve">, the prosecutorial deception – points to one unshakable truth: </w:t>
      </w:r>
      <w:r w:rsidRPr="00A4125A">
        <w:rPr>
          <w:b/>
          <w:sz w:val="24"/>
          <w:szCs w:val="24"/>
        </w:rPr>
        <w:t>I am innocent</w:t>
      </w:r>
      <w:r>
        <w:rPr>
          <w:sz w:val="24"/>
          <w:szCs w:val="24"/>
        </w:rPr>
        <w:t>. And the State of Tennessee has known, or should have known, for decades.</w:t>
      </w:r>
    </w:p>
    <w:p w:rsidR="00E959C3" w:rsidRDefault="00E959C3" w:rsidP="00E959C3">
      <w:pPr>
        <w:spacing w:after="240" w:line="360" w:lineRule="auto"/>
        <w:jc w:val="both"/>
        <w:rPr>
          <w:sz w:val="24"/>
          <w:szCs w:val="24"/>
        </w:rPr>
      </w:pPr>
      <w:r>
        <w:rPr>
          <w:sz w:val="24"/>
          <w:szCs w:val="24"/>
        </w:rPr>
        <w:tab/>
        <w:t>My case is not a close call. It’s not a procedural dispute or a technical question of law. It is the clearest example of what happens when truth is buried, when courts turn away, and when the system values finality more than fairness. The Constitution was not written to uphold convictions – it was written to uphold justice.</w:t>
      </w:r>
    </w:p>
    <w:p w:rsidR="00E959C3" w:rsidRDefault="00E959C3" w:rsidP="00E959C3">
      <w:pPr>
        <w:spacing w:after="240" w:line="360" w:lineRule="auto"/>
        <w:jc w:val="both"/>
        <w:rPr>
          <w:sz w:val="24"/>
          <w:szCs w:val="24"/>
        </w:rPr>
      </w:pPr>
      <w:r>
        <w:rPr>
          <w:sz w:val="24"/>
          <w:szCs w:val="24"/>
        </w:rPr>
        <w:tab/>
        <w:t xml:space="preserve">When the Supreme Court decided </w:t>
      </w:r>
      <w:r w:rsidRPr="00623DD6">
        <w:rPr>
          <w:i/>
          <w:sz w:val="24"/>
          <w:szCs w:val="24"/>
        </w:rPr>
        <w:t>Banks v. Dretke</w:t>
      </w:r>
      <w:r>
        <w:rPr>
          <w:sz w:val="24"/>
          <w:szCs w:val="24"/>
        </w:rPr>
        <w:t>, it warned of exactly this kind of injustice – a case where the State hides evidence and then blames the defendant for not finding it sooner. That’s not law. That’s fraud in the language of justice.</w:t>
      </w:r>
    </w:p>
    <w:p w:rsidR="00E959C3" w:rsidRDefault="00E959C3" w:rsidP="00E959C3">
      <w:pPr>
        <w:spacing w:after="240" w:line="360" w:lineRule="auto"/>
        <w:jc w:val="both"/>
        <w:rPr>
          <w:sz w:val="24"/>
          <w:szCs w:val="24"/>
        </w:rPr>
      </w:pPr>
      <w:r>
        <w:rPr>
          <w:sz w:val="24"/>
          <w:szCs w:val="24"/>
        </w:rPr>
        <w:tab/>
        <w:t xml:space="preserve">When </w:t>
      </w:r>
      <w:r w:rsidRPr="005E224C">
        <w:rPr>
          <w:i/>
          <w:sz w:val="24"/>
          <w:szCs w:val="24"/>
        </w:rPr>
        <w:t>Brady v. Maryland</w:t>
      </w:r>
      <w:r w:rsidR="00996BF2">
        <w:rPr>
          <w:sz w:val="24"/>
          <w:szCs w:val="24"/>
        </w:rPr>
        <w:t>,</w:t>
      </w:r>
      <w:r>
        <w:rPr>
          <w:sz w:val="24"/>
          <w:szCs w:val="24"/>
        </w:rPr>
        <w:t xml:space="preserve"> </w:t>
      </w:r>
      <w:r w:rsidRPr="005E224C">
        <w:rPr>
          <w:i/>
          <w:sz w:val="24"/>
          <w:szCs w:val="24"/>
        </w:rPr>
        <w:t>Giglio v. United States</w:t>
      </w:r>
      <w:r w:rsidR="00996BF2">
        <w:rPr>
          <w:sz w:val="24"/>
          <w:szCs w:val="24"/>
        </w:rPr>
        <w:t xml:space="preserve">, and </w:t>
      </w:r>
      <w:r w:rsidR="00996BF2">
        <w:rPr>
          <w:i/>
          <w:sz w:val="24"/>
          <w:szCs w:val="24"/>
        </w:rPr>
        <w:t>U.S. v. Agurs</w:t>
      </w:r>
      <w:r>
        <w:rPr>
          <w:sz w:val="24"/>
          <w:szCs w:val="24"/>
        </w:rPr>
        <w:t xml:space="preserve"> were decided, they stood for one basic moral truth: that no conviction can stand when built on deceit. Yet that’s exactly what Tennessee continues to defend.</w:t>
      </w:r>
    </w:p>
    <w:p w:rsidR="00E959C3" w:rsidRDefault="00E959C3" w:rsidP="00E959C3">
      <w:pPr>
        <w:spacing w:after="240" w:line="360" w:lineRule="auto"/>
        <w:jc w:val="both"/>
        <w:rPr>
          <w:sz w:val="24"/>
          <w:szCs w:val="24"/>
        </w:rPr>
      </w:pPr>
      <w:r>
        <w:rPr>
          <w:sz w:val="24"/>
          <w:szCs w:val="24"/>
        </w:rPr>
        <w:tab/>
        <w:t>The Sixth Circuit now faces a defining moment – not just for me, but for the integrity of the system itself. My wrongful conviction is not just a legal failure; it is a moral one. To allow it to stand would be to sanction injustice as a matter of policy, to declare that innocence is irrelevant if discovered too late.</w:t>
      </w:r>
    </w:p>
    <w:p w:rsidR="00E959C3" w:rsidRDefault="00E959C3" w:rsidP="00E959C3">
      <w:pPr>
        <w:spacing w:after="240" w:line="360" w:lineRule="auto"/>
        <w:jc w:val="both"/>
        <w:rPr>
          <w:sz w:val="24"/>
          <w:szCs w:val="24"/>
        </w:rPr>
      </w:pPr>
      <w:r>
        <w:rPr>
          <w:sz w:val="24"/>
          <w:szCs w:val="24"/>
        </w:rPr>
        <w:tab/>
        <w:t>But the Constitution says otherwise. Truth has no expiration date. Justice delayed is not just denied – it is justice waiting to be redeemed.</w:t>
      </w:r>
    </w:p>
    <w:p w:rsidR="00E959C3" w:rsidRDefault="00E959C3" w:rsidP="00E959C3">
      <w:pPr>
        <w:spacing w:after="240" w:line="360" w:lineRule="auto"/>
        <w:jc w:val="both"/>
        <w:rPr>
          <w:sz w:val="24"/>
          <w:szCs w:val="24"/>
        </w:rPr>
      </w:pPr>
      <w:r>
        <w:rPr>
          <w:sz w:val="24"/>
          <w:szCs w:val="24"/>
        </w:rPr>
        <w:tab/>
      </w:r>
      <w:r w:rsidR="0030214D">
        <w:rPr>
          <w:sz w:val="24"/>
          <w:szCs w:val="24"/>
        </w:rPr>
        <w:t>I have lost more than two decades of my life to this lie. My youth, my family, my dreams – all stolen under the false pretense of guilt. Yet still, I come before this Court with nothing but the truth in my hands and faith in my heart. I believe this Court has both the power and the duty to correct what Tennessee refused to.</w:t>
      </w:r>
    </w:p>
    <w:p w:rsidR="0030214D" w:rsidRDefault="0030214D" w:rsidP="00E959C3">
      <w:pPr>
        <w:spacing w:after="240" w:line="360" w:lineRule="auto"/>
        <w:jc w:val="both"/>
        <w:rPr>
          <w:sz w:val="24"/>
          <w:szCs w:val="24"/>
        </w:rPr>
      </w:pPr>
      <w:r>
        <w:rPr>
          <w:sz w:val="24"/>
          <w:szCs w:val="24"/>
        </w:rPr>
        <w:lastRenderedPageBreak/>
        <w:tab/>
        <w:t>This is not merely a petition for leave to file again – it is a plea for this nation to live up to its word.</w:t>
      </w:r>
    </w:p>
    <w:p w:rsidR="0030214D" w:rsidRDefault="0030214D" w:rsidP="00E959C3">
      <w:pPr>
        <w:spacing w:after="240" w:line="360" w:lineRule="auto"/>
        <w:jc w:val="both"/>
        <w:rPr>
          <w:sz w:val="24"/>
          <w:szCs w:val="24"/>
        </w:rPr>
      </w:pPr>
      <w:r>
        <w:rPr>
          <w:sz w:val="24"/>
          <w:szCs w:val="24"/>
        </w:rPr>
        <w:tab/>
        <w:t>To prove that the Constitution still matters.</w:t>
      </w:r>
    </w:p>
    <w:p w:rsidR="0030214D" w:rsidRDefault="0030214D" w:rsidP="00E959C3">
      <w:pPr>
        <w:spacing w:after="240" w:line="360" w:lineRule="auto"/>
        <w:jc w:val="both"/>
        <w:rPr>
          <w:sz w:val="24"/>
          <w:szCs w:val="24"/>
        </w:rPr>
      </w:pPr>
      <w:r>
        <w:rPr>
          <w:sz w:val="24"/>
          <w:szCs w:val="24"/>
        </w:rPr>
        <w:tab/>
        <w:t>To prove that truth still matters.</w:t>
      </w:r>
    </w:p>
    <w:p w:rsidR="0030214D" w:rsidRDefault="0030214D" w:rsidP="00E959C3">
      <w:pPr>
        <w:spacing w:after="240" w:line="360" w:lineRule="auto"/>
        <w:jc w:val="both"/>
        <w:rPr>
          <w:sz w:val="24"/>
          <w:szCs w:val="24"/>
        </w:rPr>
      </w:pPr>
      <w:r>
        <w:rPr>
          <w:sz w:val="24"/>
          <w:szCs w:val="24"/>
        </w:rPr>
        <w:tab/>
        <w:t>To prove that a man’s innocence cannot be buried forever beneath the weight of another man’s lies.</w:t>
      </w:r>
    </w:p>
    <w:p w:rsidR="0030214D" w:rsidRDefault="0030214D" w:rsidP="00E959C3">
      <w:pPr>
        <w:spacing w:after="240" w:line="360" w:lineRule="auto"/>
        <w:jc w:val="both"/>
        <w:rPr>
          <w:sz w:val="24"/>
          <w:szCs w:val="24"/>
        </w:rPr>
      </w:pPr>
      <w:r>
        <w:rPr>
          <w:sz w:val="24"/>
          <w:szCs w:val="24"/>
        </w:rPr>
        <w:tab/>
        <w:t xml:space="preserve">I ask – not out of bitterness, but out of faith – that this Court finally do what every previous one failed to do: </w:t>
      </w:r>
      <w:r w:rsidRPr="00A4125A">
        <w:rPr>
          <w:b/>
          <w:sz w:val="24"/>
          <w:szCs w:val="24"/>
        </w:rPr>
        <w:t>see me. Hear me. And free me</w:t>
      </w:r>
      <w:r w:rsidRPr="0030214D">
        <w:rPr>
          <w:b/>
          <w:sz w:val="24"/>
          <w:szCs w:val="24"/>
        </w:rPr>
        <w:t>.</w:t>
      </w:r>
    </w:p>
    <w:p w:rsidR="0030214D" w:rsidRDefault="0030214D" w:rsidP="00E959C3">
      <w:pPr>
        <w:spacing w:after="240" w:line="360" w:lineRule="auto"/>
        <w:jc w:val="both"/>
        <w:rPr>
          <w:sz w:val="24"/>
          <w:szCs w:val="24"/>
        </w:rPr>
      </w:pPr>
      <w:r>
        <w:rPr>
          <w:sz w:val="24"/>
          <w:szCs w:val="24"/>
        </w:rPr>
        <w:tab/>
        <w:t>Because continued imprisonment in the face of proven innocence is not just unlawful – it is inhumane.</w:t>
      </w:r>
    </w:p>
    <w:p w:rsidR="0030214D" w:rsidRDefault="0030214D" w:rsidP="00E959C3">
      <w:pPr>
        <w:spacing w:after="240" w:line="360" w:lineRule="auto"/>
        <w:jc w:val="both"/>
        <w:rPr>
          <w:sz w:val="24"/>
          <w:szCs w:val="24"/>
        </w:rPr>
      </w:pPr>
      <w:r>
        <w:rPr>
          <w:sz w:val="24"/>
          <w:szCs w:val="24"/>
        </w:rPr>
        <w:tab/>
        <w:t>And if this Court stands for justice, if it still believes in the principles carved into its own foundation, then it must grant this motion and allow my successive petition to proceed – so that the truth, at long last, can have its day.</w:t>
      </w:r>
    </w:p>
    <w:p w:rsidR="0030214D" w:rsidRDefault="0030214D" w:rsidP="00E959C3">
      <w:pPr>
        <w:spacing w:after="240" w:line="360" w:lineRule="auto"/>
        <w:jc w:val="both"/>
        <w:rPr>
          <w:sz w:val="24"/>
          <w:szCs w:val="24"/>
        </w:rPr>
      </w:pPr>
      <w:r>
        <w:rPr>
          <w:sz w:val="24"/>
          <w:szCs w:val="24"/>
        </w:rPr>
        <w:tab/>
        <w:t>Thank you…</w:t>
      </w:r>
    </w:p>
    <w:p w:rsidR="0030214D" w:rsidRDefault="0030214D" w:rsidP="00E959C3">
      <w:pPr>
        <w:spacing w:after="240" w:line="36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Respectfully submitted,</w:t>
      </w:r>
    </w:p>
    <w:p w:rsidR="0030214D" w:rsidRDefault="0030214D" w:rsidP="00623DD6">
      <w:pPr>
        <w:spacing w:after="240" w:line="276" w:lineRule="auto"/>
        <w:jc w:val="both"/>
        <w:rPr>
          <w:sz w:val="24"/>
          <w:szCs w:val="24"/>
        </w:rPr>
      </w:pPr>
    </w:p>
    <w:p w:rsidR="0030214D" w:rsidRDefault="0030214D" w:rsidP="0030214D">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Kenneth D. Thomas,</w:t>
      </w:r>
    </w:p>
    <w:p w:rsidR="0030214D" w:rsidRDefault="0030214D" w:rsidP="0030214D">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Movant, pro se # 262443</w:t>
      </w:r>
    </w:p>
    <w:p w:rsidR="0030214D" w:rsidRDefault="0030214D" w:rsidP="0030214D">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Riverbend Max. Sec. Inst.</w:t>
      </w:r>
    </w:p>
    <w:p w:rsidR="0030214D" w:rsidRDefault="0030214D" w:rsidP="0030214D">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7475 Cockrill Bend Blvd.</w:t>
      </w:r>
    </w:p>
    <w:p w:rsidR="0030214D" w:rsidRDefault="0030214D" w:rsidP="0030214D">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Nashville, TN 37209</w:t>
      </w:r>
    </w:p>
    <w:p w:rsidR="00C42D6E" w:rsidRDefault="00C42D6E" w:rsidP="0030214D">
      <w:pPr>
        <w:spacing w:line="276" w:lineRule="auto"/>
        <w:jc w:val="both"/>
        <w:rPr>
          <w:sz w:val="24"/>
          <w:szCs w:val="24"/>
        </w:rPr>
      </w:pPr>
    </w:p>
    <w:p w:rsidR="008449AA" w:rsidRDefault="008449AA" w:rsidP="0030214D">
      <w:pPr>
        <w:spacing w:line="276" w:lineRule="auto"/>
        <w:jc w:val="both"/>
        <w:rPr>
          <w:sz w:val="24"/>
          <w:szCs w:val="24"/>
        </w:rPr>
      </w:pPr>
    </w:p>
    <w:p w:rsidR="003D22FB" w:rsidRDefault="003D22FB" w:rsidP="003D22FB">
      <w:pPr>
        <w:pStyle w:val="ListParagraph"/>
        <w:spacing w:line="276" w:lineRule="auto"/>
        <w:ind w:left="0"/>
        <w:jc w:val="center"/>
        <w:rPr>
          <w:b/>
          <w:sz w:val="24"/>
          <w:szCs w:val="24"/>
        </w:rPr>
      </w:pPr>
      <w:r>
        <w:rPr>
          <w:b/>
          <w:sz w:val="24"/>
          <w:szCs w:val="24"/>
        </w:rPr>
        <w:t>CERTIFICATE OF SERVICE</w:t>
      </w:r>
    </w:p>
    <w:p w:rsidR="003D22FB" w:rsidRPr="00A663E6" w:rsidRDefault="003D22FB" w:rsidP="003D22FB">
      <w:pPr>
        <w:pStyle w:val="ListParagraph"/>
        <w:spacing w:line="276" w:lineRule="auto"/>
        <w:ind w:left="0"/>
        <w:jc w:val="center"/>
        <w:rPr>
          <w:b/>
          <w:sz w:val="16"/>
          <w:szCs w:val="16"/>
        </w:rPr>
      </w:pPr>
    </w:p>
    <w:p w:rsidR="003D22FB" w:rsidRPr="003D22FB" w:rsidRDefault="003D22FB" w:rsidP="003D22FB">
      <w:pPr>
        <w:pStyle w:val="ListParagraph"/>
        <w:spacing w:line="360" w:lineRule="auto"/>
        <w:ind w:left="0"/>
        <w:jc w:val="both"/>
        <w:rPr>
          <w:b/>
          <w:sz w:val="24"/>
          <w:szCs w:val="24"/>
        </w:rPr>
      </w:pPr>
      <w:r>
        <w:rPr>
          <w:sz w:val="24"/>
          <w:szCs w:val="24"/>
        </w:rPr>
        <w:tab/>
        <w:t xml:space="preserve">I , the undersigned, certify that on the </w:t>
      </w:r>
      <w:r w:rsidR="00C42D6E">
        <w:rPr>
          <w:sz w:val="24"/>
          <w:szCs w:val="24"/>
        </w:rPr>
        <w:t>10</w:t>
      </w:r>
      <w:r>
        <w:rPr>
          <w:sz w:val="24"/>
          <w:szCs w:val="24"/>
          <w:vertAlign w:val="superscript"/>
        </w:rPr>
        <w:t>th</w:t>
      </w:r>
      <w:r>
        <w:rPr>
          <w:sz w:val="24"/>
          <w:szCs w:val="24"/>
        </w:rPr>
        <w:t xml:space="preserve"> day of October 2025, a true and exact copy of the forgoing</w:t>
      </w:r>
      <w:r w:rsidRPr="002B2808">
        <w:t xml:space="preserve"> </w:t>
      </w:r>
      <w:r w:rsidRPr="003D22FB">
        <w:rPr>
          <w:sz w:val="24"/>
          <w:szCs w:val="24"/>
        </w:rPr>
        <w:t xml:space="preserve">movant’s reply in support of application for leave to file successive petition for </w:t>
      </w:r>
      <w:r w:rsidR="00C42D6E">
        <w:rPr>
          <w:sz w:val="24"/>
          <w:szCs w:val="24"/>
        </w:rPr>
        <w:t xml:space="preserve">a </w:t>
      </w:r>
      <w:r w:rsidRPr="003D22FB">
        <w:rPr>
          <w:sz w:val="24"/>
          <w:szCs w:val="24"/>
        </w:rPr>
        <w:t>writ habeas corpus</w:t>
      </w:r>
      <w:r w:rsidRPr="003D22FB">
        <w:rPr>
          <w:b/>
          <w:sz w:val="24"/>
          <w:szCs w:val="24"/>
        </w:rPr>
        <w:t xml:space="preserve"> </w:t>
      </w:r>
      <w:r>
        <w:rPr>
          <w:sz w:val="24"/>
          <w:szCs w:val="24"/>
        </w:rPr>
        <w:t>has been mailed, postage prepaid,</w:t>
      </w:r>
      <w:r w:rsidR="00C42D6E">
        <w:rPr>
          <w:sz w:val="24"/>
          <w:szCs w:val="24"/>
        </w:rPr>
        <w:t xml:space="preserve"> along with a contemporaneously filed direct </w:t>
      </w:r>
      <w:r w:rsidR="00C42D6E">
        <w:rPr>
          <w:sz w:val="24"/>
          <w:szCs w:val="24"/>
        </w:rPr>
        <w:lastRenderedPageBreak/>
        <w:t>response to the State’s misrepresentations and distortions of fact in State’s motion in opposition to request authorization to file second or successive habeas petition,</w:t>
      </w:r>
      <w:r>
        <w:rPr>
          <w:sz w:val="24"/>
          <w:szCs w:val="24"/>
        </w:rPr>
        <w:t xml:space="preserve"> to </w:t>
      </w:r>
      <w:r w:rsidR="00C42D6E">
        <w:rPr>
          <w:sz w:val="24"/>
          <w:szCs w:val="24"/>
        </w:rPr>
        <w:t xml:space="preserve"> Assistant Attorney General William True</w:t>
      </w:r>
      <w:r>
        <w:rPr>
          <w:sz w:val="24"/>
          <w:szCs w:val="24"/>
        </w:rPr>
        <w:t>, Office of the Attorney General, P.O. Box 20207, Nashville, Tennessee 37202.</w:t>
      </w:r>
    </w:p>
    <w:p w:rsidR="003D22FB" w:rsidRDefault="003D22FB" w:rsidP="003D22FB">
      <w:pPr>
        <w:pStyle w:val="ListParagraph"/>
        <w:spacing w:line="276" w:lineRule="auto"/>
        <w:ind w:left="0"/>
        <w:jc w:val="both"/>
        <w:rPr>
          <w:sz w:val="24"/>
          <w:szCs w:val="24"/>
        </w:rPr>
      </w:pPr>
    </w:p>
    <w:p w:rsidR="003D22FB" w:rsidRDefault="003D22FB" w:rsidP="003D22FB">
      <w:pPr>
        <w:pStyle w:val="ListParagraph"/>
        <w:spacing w:after="240" w:line="480"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w:t>
      </w:r>
    </w:p>
    <w:p w:rsidR="003D22FB" w:rsidRPr="002B2808" w:rsidRDefault="003D22FB" w:rsidP="003D22FB">
      <w:pPr>
        <w:pStyle w:val="ListParagraph"/>
        <w:spacing w:line="276"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Kenneth Deangelo Thomas</w:t>
      </w:r>
    </w:p>
    <w:p w:rsidR="003D22FB" w:rsidRDefault="003D22FB" w:rsidP="0030214D">
      <w:pPr>
        <w:spacing w:line="276" w:lineRule="auto"/>
        <w:jc w:val="both"/>
        <w:rPr>
          <w:sz w:val="24"/>
          <w:szCs w:val="24"/>
        </w:rPr>
      </w:pPr>
    </w:p>
    <w:p w:rsidR="00C42D6E" w:rsidRDefault="00C42D6E" w:rsidP="0030214D">
      <w:pPr>
        <w:spacing w:line="276" w:lineRule="auto"/>
        <w:jc w:val="both"/>
        <w:rPr>
          <w:sz w:val="24"/>
          <w:szCs w:val="24"/>
        </w:rPr>
      </w:pPr>
    </w:p>
    <w:p w:rsidR="00C42D6E" w:rsidRPr="0030214D" w:rsidRDefault="00C42D6E" w:rsidP="0030214D">
      <w:pPr>
        <w:spacing w:line="276" w:lineRule="auto"/>
        <w:jc w:val="both"/>
        <w:rPr>
          <w:sz w:val="24"/>
          <w:szCs w:val="24"/>
        </w:rPr>
      </w:pPr>
    </w:p>
    <w:sectPr w:rsidR="00C42D6E" w:rsidRPr="0030214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971" w:rsidRDefault="00906971" w:rsidP="00403EE9">
      <w:r>
        <w:separator/>
      </w:r>
    </w:p>
  </w:endnote>
  <w:endnote w:type="continuationSeparator" w:id="0">
    <w:p w:rsidR="00906971" w:rsidRDefault="00906971" w:rsidP="0040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590874"/>
      <w:docPartObj>
        <w:docPartGallery w:val="Page Numbers (Bottom of Page)"/>
        <w:docPartUnique/>
      </w:docPartObj>
    </w:sdtPr>
    <w:sdtEndPr/>
    <w:sdtContent>
      <w:sdt>
        <w:sdtPr>
          <w:id w:val="1728636285"/>
          <w:docPartObj>
            <w:docPartGallery w:val="Page Numbers (Top of Page)"/>
            <w:docPartUnique/>
          </w:docPartObj>
        </w:sdtPr>
        <w:sdtEndPr/>
        <w:sdtContent>
          <w:p w:rsidR="00B44633" w:rsidRDefault="00B4463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B44633" w:rsidRDefault="00B44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971" w:rsidRDefault="00906971" w:rsidP="00403EE9">
      <w:r>
        <w:separator/>
      </w:r>
    </w:p>
  </w:footnote>
  <w:footnote w:type="continuationSeparator" w:id="0">
    <w:p w:rsidR="00906971" w:rsidRDefault="00906971" w:rsidP="00403EE9">
      <w:r>
        <w:continuationSeparator/>
      </w:r>
    </w:p>
  </w:footnote>
  <w:footnote w:id="1">
    <w:p w:rsidR="00B44633" w:rsidRDefault="00B44633" w:rsidP="00B44633">
      <w:pPr>
        <w:pStyle w:val="FootnoteText"/>
        <w:jc w:val="both"/>
      </w:pPr>
      <w:r>
        <w:rPr>
          <w:rStyle w:val="FootnoteReference"/>
        </w:rPr>
        <w:footnoteRef/>
      </w:r>
      <w:r>
        <w:t xml:space="preserve"> Fred Talley now truthfully asserts and testifies that I </w:t>
      </w:r>
      <w:r w:rsidRPr="00B44633">
        <w:rPr>
          <w:b/>
          <w:i/>
        </w:rPr>
        <w:t>never</w:t>
      </w:r>
      <w:r>
        <w:t xml:space="preserve"> came to his home the day / night of the murder as alleged by the State.</w:t>
      </w:r>
    </w:p>
  </w:footnote>
  <w:footnote w:id="2">
    <w:p w:rsidR="00BE7777" w:rsidRDefault="00BE7777">
      <w:pPr>
        <w:pStyle w:val="FootnoteText"/>
      </w:pPr>
      <w:r>
        <w:rPr>
          <w:rStyle w:val="FootnoteReference"/>
        </w:rPr>
        <w:footnoteRef/>
      </w:r>
      <w:r>
        <w:t xml:space="preserve"> </w:t>
      </w:r>
      <w:r w:rsidRPr="00BE7777">
        <w:t>513 U.S. 298</w:t>
      </w:r>
      <w:r>
        <w:t xml:space="preserve"> (1995)</w:t>
      </w:r>
    </w:p>
    <w:p w:rsidR="00BE7777" w:rsidRPr="00BE7777" w:rsidRDefault="00BE7777">
      <w:pPr>
        <w:pStyle w:val="FootnoteText"/>
        <w:rPr>
          <w:sz w:val="12"/>
          <w:szCs w:val="12"/>
        </w:rPr>
      </w:pPr>
    </w:p>
  </w:footnote>
  <w:footnote w:id="3">
    <w:p w:rsidR="00BE7777" w:rsidRDefault="00BE7777">
      <w:pPr>
        <w:pStyle w:val="FootnoteText"/>
      </w:pPr>
      <w:r>
        <w:rPr>
          <w:rStyle w:val="FootnoteReference"/>
        </w:rPr>
        <w:footnoteRef/>
      </w:r>
      <w:r>
        <w:t xml:space="preserve"> </w:t>
      </w:r>
      <w:r w:rsidRPr="00BE7777">
        <w:t>547 U.S. 518 (2006)</w:t>
      </w:r>
    </w:p>
    <w:p w:rsidR="00BE7777" w:rsidRPr="00BE7777" w:rsidRDefault="00BE7777">
      <w:pPr>
        <w:pStyle w:val="FootnoteText"/>
        <w:rPr>
          <w:sz w:val="12"/>
          <w:szCs w:val="12"/>
        </w:rPr>
      </w:pPr>
    </w:p>
  </w:footnote>
  <w:footnote w:id="4">
    <w:p w:rsidR="00BE7777" w:rsidRDefault="00BE7777">
      <w:pPr>
        <w:pStyle w:val="FootnoteText"/>
      </w:pPr>
      <w:r>
        <w:rPr>
          <w:rStyle w:val="FootnoteReference"/>
        </w:rPr>
        <w:footnoteRef/>
      </w:r>
      <w:r>
        <w:t xml:space="preserve"> </w:t>
      </w:r>
      <w:r w:rsidRPr="00BE7777">
        <w:t>569 U.S. 383 (2013)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279A8"/>
    <w:multiLevelType w:val="hybridMultilevel"/>
    <w:tmpl w:val="C7665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1E61A5"/>
    <w:multiLevelType w:val="hybridMultilevel"/>
    <w:tmpl w:val="02F2675E"/>
    <w:lvl w:ilvl="0" w:tplc="5F34AC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D92"/>
    <w:rsid w:val="001501DD"/>
    <w:rsid w:val="001B3220"/>
    <w:rsid w:val="001F4A29"/>
    <w:rsid w:val="002406A0"/>
    <w:rsid w:val="002E1B09"/>
    <w:rsid w:val="0030214D"/>
    <w:rsid w:val="003D22FB"/>
    <w:rsid w:val="00403EE9"/>
    <w:rsid w:val="00423D52"/>
    <w:rsid w:val="004736BA"/>
    <w:rsid w:val="004C2A6B"/>
    <w:rsid w:val="005E224C"/>
    <w:rsid w:val="00623DD6"/>
    <w:rsid w:val="007B0E8D"/>
    <w:rsid w:val="008449AA"/>
    <w:rsid w:val="00906971"/>
    <w:rsid w:val="009223E4"/>
    <w:rsid w:val="009610F8"/>
    <w:rsid w:val="00996BF2"/>
    <w:rsid w:val="009A4A2D"/>
    <w:rsid w:val="009F6D92"/>
    <w:rsid w:val="00A4125A"/>
    <w:rsid w:val="00B44633"/>
    <w:rsid w:val="00BE7777"/>
    <w:rsid w:val="00BF746D"/>
    <w:rsid w:val="00C42D6E"/>
    <w:rsid w:val="00CF7FF4"/>
    <w:rsid w:val="00D75829"/>
    <w:rsid w:val="00DA1979"/>
    <w:rsid w:val="00DA2B4C"/>
    <w:rsid w:val="00DD3F32"/>
    <w:rsid w:val="00E11595"/>
    <w:rsid w:val="00E959C3"/>
    <w:rsid w:val="00EF26C5"/>
    <w:rsid w:val="00FC7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B9287"/>
  <w15:chartTrackingRefBased/>
  <w15:docId w15:val="{F21F9653-086F-41B0-A85C-B96C01697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1979"/>
  </w:style>
  <w:style w:type="paragraph" w:styleId="Heading1">
    <w:name w:val="heading 1"/>
    <w:basedOn w:val="Normal"/>
    <w:next w:val="Normal"/>
    <w:link w:val="Heading1Char"/>
    <w:qFormat/>
    <w:rsid w:val="00DA1979"/>
    <w:pPr>
      <w:keepNext/>
      <w:jc w:val="center"/>
      <w:outlineLvl w:val="0"/>
    </w:pPr>
    <w:rPr>
      <w:b/>
      <w:bCs/>
      <w:sz w:val="26"/>
      <w:u w:val="single"/>
    </w:rPr>
  </w:style>
  <w:style w:type="paragraph" w:styleId="Heading2">
    <w:name w:val="heading 2"/>
    <w:basedOn w:val="Normal"/>
    <w:next w:val="Normal"/>
    <w:link w:val="Heading2Char"/>
    <w:qFormat/>
    <w:rsid w:val="00DA1979"/>
    <w:pPr>
      <w:keepNext/>
      <w:ind w:left="3600"/>
      <w:outlineLvl w:val="1"/>
    </w:pPr>
    <w:rPr>
      <w:sz w:val="24"/>
    </w:rPr>
  </w:style>
  <w:style w:type="paragraph" w:styleId="Heading3">
    <w:name w:val="heading 3"/>
    <w:basedOn w:val="Normal"/>
    <w:next w:val="Normal"/>
    <w:link w:val="Heading3Char"/>
    <w:qFormat/>
    <w:rsid w:val="00DA1979"/>
    <w:pPr>
      <w:keepNext/>
      <w:ind w:firstLine="720"/>
      <w:outlineLvl w:val="2"/>
    </w:pPr>
    <w:rPr>
      <w:rFonts w:ascii="Times" w:hAnsi="Times"/>
      <w:sz w:val="24"/>
    </w:rPr>
  </w:style>
  <w:style w:type="paragraph" w:styleId="Heading4">
    <w:name w:val="heading 4"/>
    <w:basedOn w:val="Normal"/>
    <w:next w:val="Normal"/>
    <w:link w:val="Heading4Char"/>
    <w:qFormat/>
    <w:rsid w:val="00DA1979"/>
    <w:pPr>
      <w:keepNext/>
      <w:outlineLvl w:val="3"/>
    </w:pPr>
    <w:rPr>
      <w:rFonts w:ascii="Times" w:hAnsi="Times"/>
      <w:sz w:val="24"/>
    </w:rPr>
  </w:style>
  <w:style w:type="paragraph" w:styleId="Heading5">
    <w:name w:val="heading 5"/>
    <w:basedOn w:val="Normal"/>
    <w:next w:val="Normal"/>
    <w:link w:val="Heading5Char"/>
    <w:qFormat/>
    <w:rsid w:val="00DA1979"/>
    <w:pPr>
      <w:keepNext/>
      <w:jc w:val="both"/>
      <w:outlineLvl w:val="4"/>
    </w:pPr>
    <w:rPr>
      <w:rFonts w:ascii="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1979"/>
    <w:rPr>
      <w:b/>
      <w:bCs/>
      <w:sz w:val="26"/>
      <w:u w:val="single"/>
    </w:rPr>
  </w:style>
  <w:style w:type="character" w:customStyle="1" w:styleId="Heading2Char">
    <w:name w:val="Heading 2 Char"/>
    <w:basedOn w:val="DefaultParagraphFont"/>
    <w:link w:val="Heading2"/>
    <w:rsid w:val="00DA1979"/>
    <w:rPr>
      <w:sz w:val="24"/>
    </w:rPr>
  </w:style>
  <w:style w:type="character" w:customStyle="1" w:styleId="Heading3Char">
    <w:name w:val="Heading 3 Char"/>
    <w:basedOn w:val="DefaultParagraphFont"/>
    <w:link w:val="Heading3"/>
    <w:rsid w:val="00DA1979"/>
    <w:rPr>
      <w:rFonts w:ascii="Times" w:hAnsi="Times"/>
      <w:sz w:val="24"/>
    </w:rPr>
  </w:style>
  <w:style w:type="character" w:customStyle="1" w:styleId="Heading4Char">
    <w:name w:val="Heading 4 Char"/>
    <w:basedOn w:val="DefaultParagraphFont"/>
    <w:link w:val="Heading4"/>
    <w:rsid w:val="00DA1979"/>
    <w:rPr>
      <w:rFonts w:ascii="Times" w:hAnsi="Times"/>
      <w:sz w:val="24"/>
    </w:rPr>
  </w:style>
  <w:style w:type="character" w:customStyle="1" w:styleId="Heading5Char">
    <w:name w:val="Heading 5 Char"/>
    <w:basedOn w:val="DefaultParagraphFont"/>
    <w:link w:val="Heading5"/>
    <w:rsid w:val="00DA1979"/>
    <w:rPr>
      <w:rFonts w:ascii="Times" w:hAnsi="Times"/>
      <w:sz w:val="24"/>
    </w:rPr>
  </w:style>
  <w:style w:type="paragraph" w:styleId="Title">
    <w:name w:val="Title"/>
    <w:basedOn w:val="Normal"/>
    <w:link w:val="TitleChar"/>
    <w:qFormat/>
    <w:rsid w:val="00DA1979"/>
    <w:pPr>
      <w:jc w:val="center"/>
    </w:pPr>
    <w:rPr>
      <w:sz w:val="26"/>
    </w:rPr>
  </w:style>
  <w:style w:type="character" w:customStyle="1" w:styleId="TitleChar">
    <w:name w:val="Title Char"/>
    <w:basedOn w:val="DefaultParagraphFont"/>
    <w:link w:val="Title"/>
    <w:rsid w:val="00DA1979"/>
    <w:rPr>
      <w:sz w:val="26"/>
    </w:rPr>
  </w:style>
  <w:style w:type="paragraph" w:styleId="Subtitle">
    <w:name w:val="Subtitle"/>
    <w:basedOn w:val="Normal"/>
    <w:link w:val="SubtitleChar"/>
    <w:qFormat/>
    <w:rsid w:val="00DA1979"/>
    <w:pPr>
      <w:jc w:val="center"/>
    </w:pPr>
    <w:rPr>
      <w:rFonts w:ascii="Times" w:hAnsi="Times"/>
      <w:sz w:val="24"/>
    </w:rPr>
  </w:style>
  <w:style w:type="character" w:customStyle="1" w:styleId="SubtitleChar">
    <w:name w:val="Subtitle Char"/>
    <w:basedOn w:val="DefaultParagraphFont"/>
    <w:link w:val="Subtitle"/>
    <w:rsid w:val="00DA1979"/>
    <w:rPr>
      <w:rFonts w:ascii="Times" w:hAnsi="Times"/>
      <w:sz w:val="24"/>
    </w:rPr>
  </w:style>
  <w:style w:type="paragraph" w:styleId="ListParagraph">
    <w:name w:val="List Paragraph"/>
    <w:basedOn w:val="Normal"/>
    <w:uiPriority w:val="34"/>
    <w:qFormat/>
    <w:rsid w:val="002E1B09"/>
    <w:pPr>
      <w:ind w:left="720"/>
      <w:contextualSpacing/>
    </w:pPr>
  </w:style>
  <w:style w:type="paragraph" w:styleId="Header">
    <w:name w:val="header"/>
    <w:basedOn w:val="Normal"/>
    <w:link w:val="HeaderChar"/>
    <w:uiPriority w:val="99"/>
    <w:unhideWhenUsed/>
    <w:rsid w:val="00403EE9"/>
    <w:pPr>
      <w:tabs>
        <w:tab w:val="center" w:pos="4680"/>
        <w:tab w:val="right" w:pos="9360"/>
      </w:tabs>
    </w:pPr>
  </w:style>
  <w:style w:type="character" w:customStyle="1" w:styleId="HeaderChar">
    <w:name w:val="Header Char"/>
    <w:basedOn w:val="DefaultParagraphFont"/>
    <w:link w:val="Header"/>
    <w:uiPriority w:val="99"/>
    <w:rsid w:val="00403EE9"/>
  </w:style>
  <w:style w:type="paragraph" w:styleId="Footer">
    <w:name w:val="footer"/>
    <w:basedOn w:val="Normal"/>
    <w:link w:val="FooterChar"/>
    <w:uiPriority w:val="99"/>
    <w:unhideWhenUsed/>
    <w:rsid w:val="00403EE9"/>
    <w:pPr>
      <w:tabs>
        <w:tab w:val="center" w:pos="4680"/>
        <w:tab w:val="right" w:pos="9360"/>
      </w:tabs>
    </w:pPr>
  </w:style>
  <w:style w:type="character" w:customStyle="1" w:styleId="FooterChar">
    <w:name w:val="Footer Char"/>
    <w:basedOn w:val="DefaultParagraphFont"/>
    <w:link w:val="Footer"/>
    <w:uiPriority w:val="99"/>
    <w:rsid w:val="00403EE9"/>
  </w:style>
  <w:style w:type="paragraph" w:styleId="EnvelopeAddress">
    <w:name w:val="envelope address"/>
    <w:basedOn w:val="Normal"/>
    <w:uiPriority w:val="99"/>
    <w:unhideWhenUsed/>
    <w:rsid w:val="004736B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4736BA"/>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1B3220"/>
  </w:style>
  <w:style w:type="character" w:customStyle="1" w:styleId="FootnoteTextChar">
    <w:name w:val="Footnote Text Char"/>
    <w:basedOn w:val="DefaultParagraphFont"/>
    <w:link w:val="FootnoteText"/>
    <w:uiPriority w:val="99"/>
    <w:semiHidden/>
    <w:rsid w:val="001B3220"/>
  </w:style>
  <w:style w:type="character" w:styleId="FootnoteReference">
    <w:name w:val="footnote reference"/>
    <w:basedOn w:val="DefaultParagraphFont"/>
    <w:uiPriority w:val="99"/>
    <w:semiHidden/>
    <w:unhideWhenUsed/>
    <w:rsid w:val="001B32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2801</Words>
  <Characters>15966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Inmate</dc:creator>
  <cp:keywords/>
  <dc:description/>
  <cp:lastModifiedBy>Inmate</cp:lastModifiedBy>
  <cp:revision>2</cp:revision>
  <dcterms:created xsi:type="dcterms:W3CDTF">2025-10-11T18:23:00Z</dcterms:created>
  <dcterms:modified xsi:type="dcterms:W3CDTF">2025-10-11T18:23:00Z</dcterms:modified>
</cp:coreProperties>
</file>