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B4C" w:rsidRDefault="00130E6F" w:rsidP="00130E6F">
      <w:pPr>
        <w:spacing w:line="276" w:lineRule="auto"/>
        <w:jc w:val="center"/>
        <w:rPr>
          <w:b/>
          <w:sz w:val="24"/>
          <w:szCs w:val="24"/>
        </w:rPr>
      </w:pPr>
      <w:bookmarkStart w:id="0" w:name="_GoBack"/>
      <w:bookmarkEnd w:id="0"/>
      <w:r>
        <w:rPr>
          <w:b/>
          <w:sz w:val="24"/>
          <w:szCs w:val="24"/>
        </w:rPr>
        <w:t>IN THE UNITED STATES DISTRICT COURT</w:t>
      </w:r>
    </w:p>
    <w:p w:rsidR="00130E6F" w:rsidRDefault="00130E6F" w:rsidP="00130E6F">
      <w:pPr>
        <w:spacing w:line="276" w:lineRule="auto"/>
        <w:jc w:val="center"/>
        <w:rPr>
          <w:b/>
          <w:sz w:val="24"/>
          <w:szCs w:val="24"/>
        </w:rPr>
      </w:pPr>
      <w:r>
        <w:rPr>
          <w:b/>
          <w:sz w:val="24"/>
          <w:szCs w:val="24"/>
        </w:rPr>
        <w:t>MIDDLE DISTRICT OF TENNESSEE</w:t>
      </w:r>
    </w:p>
    <w:p w:rsidR="00130E6F" w:rsidRDefault="00130E6F" w:rsidP="00130E6F">
      <w:pPr>
        <w:spacing w:line="276" w:lineRule="auto"/>
        <w:jc w:val="center"/>
        <w:rPr>
          <w:b/>
          <w:sz w:val="24"/>
          <w:szCs w:val="24"/>
        </w:rPr>
      </w:pPr>
      <w:r>
        <w:rPr>
          <w:b/>
          <w:sz w:val="24"/>
          <w:szCs w:val="24"/>
        </w:rPr>
        <w:t>NASHVILLE DIVISION</w:t>
      </w:r>
    </w:p>
    <w:p w:rsidR="00130E6F" w:rsidRDefault="00130E6F" w:rsidP="00130E6F">
      <w:pPr>
        <w:spacing w:line="276" w:lineRule="auto"/>
        <w:jc w:val="center"/>
        <w:rPr>
          <w:sz w:val="24"/>
          <w:szCs w:val="24"/>
        </w:rPr>
      </w:pPr>
    </w:p>
    <w:p w:rsidR="00130E6F" w:rsidRDefault="00130E6F" w:rsidP="00130E6F">
      <w:pPr>
        <w:spacing w:line="276" w:lineRule="auto"/>
        <w:rPr>
          <w:b/>
          <w:sz w:val="24"/>
          <w:szCs w:val="24"/>
        </w:rPr>
      </w:pPr>
      <w:r>
        <w:rPr>
          <w:sz w:val="24"/>
          <w:szCs w:val="24"/>
        </w:rPr>
        <w:t>KENNETH D. THOMAS,</w:t>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sz w:val="24"/>
          <w:szCs w:val="24"/>
        </w:rPr>
        <w:t>Petitioner.</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spacing w:line="276" w:lineRule="auto"/>
        <w:rPr>
          <w:b/>
          <w:sz w:val="24"/>
          <w:szCs w:val="24"/>
        </w:rPr>
      </w:pPr>
      <w:r>
        <w:rPr>
          <w:b/>
          <w:sz w:val="24"/>
          <w:szCs w:val="24"/>
        </w:rPr>
        <w:tab/>
      </w:r>
      <w:r>
        <w:rPr>
          <w:b/>
          <w:sz w:val="24"/>
          <w:szCs w:val="24"/>
        </w:rPr>
        <w:tab/>
      </w:r>
      <w:r>
        <w:rPr>
          <w:sz w:val="24"/>
          <w:szCs w:val="24"/>
        </w:rPr>
        <w:t>v.</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r>
        <w:rPr>
          <w:b/>
          <w:sz w:val="24"/>
          <w:szCs w:val="24"/>
        </w:rPr>
        <w:tab/>
      </w:r>
      <w:r>
        <w:rPr>
          <w:b/>
          <w:sz w:val="24"/>
          <w:szCs w:val="24"/>
        </w:rPr>
        <w:tab/>
        <w:t>NO.</w:t>
      </w:r>
      <w:r>
        <w:rPr>
          <w:b/>
          <w:sz w:val="24"/>
          <w:szCs w:val="24"/>
        </w:rPr>
        <w:tab/>
        <w:t>__________________</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spacing w:line="276" w:lineRule="auto"/>
        <w:rPr>
          <w:b/>
          <w:sz w:val="24"/>
          <w:szCs w:val="24"/>
        </w:rPr>
      </w:pPr>
      <w:r>
        <w:rPr>
          <w:sz w:val="24"/>
          <w:szCs w:val="24"/>
        </w:rPr>
        <w:t>KENNETH NELSEN, Warden</w:t>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sz w:val="24"/>
          <w:szCs w:val="24"/>
        </w:rPr>
        <w:t>Respondent.</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pBdr>
          <w:bottom w:val="single" w:sz="12" w:space="1" w:color="auto"/>
        </w:pBdr>
        <w:spacing w:line="276" w:lineRule="auto"/>
        <w:rPr>
          <w:b/>
          <w:sz w:val="24"/>
          <w:szCs w:val="24"/>
        </w:rPr>
      </w:pPr>
    </w:p>
    <w:p w:rsidR="00865C52" w:rsidRDefault="00865C52" w:rsidP="00130E6F">
      <w:pPr>
        <w:spacing w:line="276" w:lineRule="auto"/>
        <w:rPr>
          <w:b/>
          <w:sz w:val="24"/>
          <w:szCs w:val="24"/>
        </w:rPr>
      </w:pPr>
    </w:p>
    <w:p w:rsidR="00D96D62" w:rsidRDefault="00D96D62" w:rsidP="00130E6F">
      <w:pPr>
        <w:pBdr>
          <w:bottom w:val="single" w:sz="12" w:space="1" w:color="auto"/>
        </w:pBdr>
        <w:spacing w:line="276" w:lineRule="auto"/>
        <w:jc w:val="center"/>
        <w:rPr>
          <w:b/>
          <w:sz w:val="24"/>
          <w:szCs w:val="24"/>
        </w:rPr>
      </w:pPr>
      <w:bookmarkStart w:id="1" w:name="_Hlk203807388"/>
      <w:r>
        <w:rPr>
          <w:b/>
          <w:sz w:val="24"/>
          <w:szCs w:val="24"/>
        </w:rPr>
        <w:t xml:space="preserve">MEMORANDUM OF LAW IN SUPPORT OF </w:t>
      </w:r>
      <w:r w:rsidR="00130E6F">
        <w:rPr>
          <w:b/>
          <w:sz w:val="24"/>
          <w:szCs w:val="24"/>
        </w:rPr>
        <w:t>EMERGENCY PETITION FOR A WRIT OF HABEAS CORPUS</w:t>
      </w:r>
      <w:r w:rsidR="006F2387">
        <w:rPr>
          <w:b/>
          <w:sz w:val="24"/>
          <w:szCs w:val="24"/>
        </w:rPr>
        <w:t xml:space="preserve"> PURSUANT TO 28 U.S.C. § 2254</w:t>
      </w:r>
    </w:p>
    <w:p w:rsidR="00865C52" w:rsidRDefault="00865C52" w:rsidP="00130E6F">
      <w:pPr>
        <w:pBdr>
          <w:bottom w:val="single" w:sz="12" w:space="1" w:color="auto"/>
        </w:pBdr>
        <w:spacing w:line="276" w:lineRule="auto"/>
        <w:jc w:val="center"/>
        <w:rPr>
          <w:b/>
          <w:sz w:val="24"/>
          <w:szCs w:val="24"/>
        </w:rPr>
      </w:pPr>
    </w:p>
    <w:p w:rsidR="00865C52" w:rsidRDefault="00865C52" w:rsidP="007227F0">
      <w:pPr>
        <w:spacing w:after="240" w:line="276" w:lineRule="auto"/>
        <w:jc w:val="center"/>
        <w:rPr>
          <w:b/>
          <w:sz w:val="24"/>
          <w:szCs w:val="24"/>
        </w:rPr>
      </w:pPr>
    </w:p>
    <w:p w:rsidR="00D96D62" w:rsidRDefault="00D96D62" w:rsidP="00D96D62">
      <w:pPr>
        <w:spacing w:after="240" w:line="276" w:lineRule="auto"/>
        <w:jc w:val="center"/>
        <w:rPr>
          <w:b/>
          <w:sz w:val="24"/>
          <w:szCs w:val="24"/>
        </w:rPr>
      </w:pPr>
      <w:r>
        <w:rPr>
          <w:b/>
          <w:sz w:val="24"/>
          <w:szCs w:val="24"/>
        </w:rPr>
        <w:t>INTRODUCTION</w:t>
      </w:r>
    </w:p>
    <w:p w:rsidR="004868D3" w:rsidRDefault="00D96D62" w:rsidP="004868D3">
      <w:pPr>
        <w:spacing w:after="240" w:line="360" w:lineRule="auto"/>
        <w:jc w:val="both"/>
        <w:rPr>
          <w:sz w:val="24"/>
          <w:szCs w:val="24"/>
        </w:rPr>
      </w:pPr>
      <w:r>
        <w:rPr>
          <w:sz w:val="24"/>
          <w:szCs w:val="24"/>
        </w:rPr>
        <w:tab/>
        <w:t>Petitioner, Kenneth Deangelo “Delo” Thomas, is serving a life sentence for a crime he did not commit. His conviction was obtained in violation of the Constitution – through the suppression of material exculpatory evidence, the presentation of false testimony, and secret deals made with key prosecution witnesses. These constitutional violations directly contravene clearly established federal law under:</w:t>
      </w:r>
    </w:p>
    <w:p w:rsidR="00D96D62" w:rsidRDefault="00D96D62" w:rsidP="00865C52">
      <w:pPr>
        <w:pStyle w:val="ListParagraph"/>
        <w:numPr>
          <w:ilvl w:val="0"/>
          <w:numId w:val="11"/>
        </w:numPr>
        <w:spacing w:line="480" w:lineRule="auto"/>
        <w:jc w:val="both"/>
        <w:rPr>
          <w:sz w:val="24"/>
          <w:szCs w:val="24"/>
        </w:rPr>
      </w:pPr>
      <w:r w:rsidRPr="00AC0435">
        <w:rPr>
          <w:i/>
          <w:sz w:val="24"/>
          <w:szCs w:val="24"/>
        </w:rPr>
        <w:t>Brady</w:t>
      </w:r>
      <w:r w:rsidR="004868D3" w:rsidRPr="00AC0435">
        <w:rPr>
          <w:i/>
          <w:sz w:val="24"/>
          <w:szCs w:val="24"/>
        </w:rPr>
        <w:t xml:space="preserve"> v. Maryland</w:t>
      </w:r>
      <w:r w:rsidR="004868D3">
        <w:rPr>
          <w:sz w:val="24"/>
          <w:szCs w:val="24"/>
        </w:rPr>
        <w:t>, 373 U.S. 83 (1963)</w:t>
      </w:r>
    </w:p>
    <w:p w:rsidR="004868D3" w:rsidRDefault="004868D3" w:rsidP="00865C52">
      <w:pPr>
        <w:pStyle w:val="ListParagraph"/>
        <w:numPr>
          <w:ilvl w:val="0"/>
          <w:numId w:val="11"/>
        </w:numPr>
        <w:spacing w:line="480" w:lineRule="auto"/>
        <w:jc w:val="both"/>
        <w:rPr>
          <w:sz w:val="24"/>
          <w:szCs w:val="24"/>
        </w:rPr>
      </w:pPr>
      <w:r w:rsidRPr="004868D3">
        <w:rPr>
          <w:i/>
          <w:sz w:val="24"/>
          <w:szCs w:val="24"/>
        </w:rPr>
        <w:t>Kyles v. Whitley</w:t>
      </w:r>
      <w:r>
        <w:rPr>
          <w:sz w:val="24"/>
          <w:szCs w:val="24"/>
        </w:rPr>
        <w:t>, 514 U.S. 419 (1995)</w:t>
      </w:r>
    </w:p>
    <w:p w:rsidR="004868D3" w:rsidRDefault="004868D3" w:rsidP="00865C52">
      <w:pPr>
        <w:pStyle w:val="ListParagraph"/>
        <w:numPr>
          <w:ilvl w:val="0"/>
          <w:numId w:val="11"/>
        </w:numPr>
        <w:spacing w:line="480" w:lineRule="auto"/>
        <w:jc w:val="both"/>
        <w:rPr>
          <w:sz w:val="24"/>
          <w:szCs w:val="24"/>
        </w:rPr>
      </w:pPr>
      <w:r w:rsidRPr="004868D3">
        <w:rPr>
          <w:i/>
          <w:sz w:val="24"/>
          <w:szCs w:val="24"/>
        </w:rPr>
        <w:t>United States v. Agurs</w:t>
      </w:r>
      <w:r>
        <w:rPr>
          <w:sz w:val="24"/>
          <w:szCs w:val="24"/>
        </w:rPr>
        <w:t>, 427 U.S. 97 (1976)</w:t>
      </w:r>
    </w:p>
    <w:p w:rsidR="004868D3" w:rsidRDefault="004868D3" w:rsidP="00865C52">
      <w:pPr>
        <w:pStyle w:val="ListParagraph"/>
        <w:numPr>
          <w:ilvl w:val="0"/>
          <w:numId w:val="11"/>
        </w:numPr>
        <w:spacing w:line="480" w:lineRule="auto"/>
        <w:jc w:val="both"/>
        <w:rPr>
          <w:sz w:val="24"/>
          <w:szCs w:val="24"/>
        </w:rPr>
      </w:pPr>
      <w:r w:rsidRPr="004868D3">
        <w:rPr>
          <w:i/>
          <w:sz w:val="24"/>
          <w:szCs w:val="24"/>
        </w:rPr>
        <w:t>United States v. Bagley</w:t>
      </w:r>
      <w:r>
        <w:rPr>
          <w:sz w:val="24"/>
          <w:szCs w:val="24"/>
        </w:rPr>
        <w:t>, 473 U.S. 667 (1985)</w:t>
      </w:r>
    </w:p>
    <w:p w:rsidR="004868D3" w:rsidRDefault="004868D3" w:rsidP="00865C52">
      <w:pPr>
        <w:pStyle w:val="ListParagraph"/>
        <w:numPr>
          <w:ilvl w:val="0"/>
          <w:numId w:val="11"/>
        </w:numPr>
        <w:spacing w:line="480" w:lineRule="auto"/>
        <w:jc w:val="both"/>
        <w:rPr>
          <w:sz w:val="24"/>
          <w:szCs w:val="24"/>
        </w:rPr>
      </w:pPr>
      <w:r w:rsidRPr="004868D3">
        <w:rPr>
          <w:i/>
          <w:sz w:val="24"/>
          <w:szCs w:val="24"/>
        </w:rPr>
        <w:t>Giglio v. United States</w:t>
      </w:r>
      <w:r>
        <w:rPr>
          <w:sz w:val="24"/>
          <w:szCs w:val="24"/>
        </w:rPr>
        <w:t>, 405 U.S. 150 (1972)</w:t>
      </w:r>
    </w:p>
    <w:p w:rsidR="004868D3" w:rsidRDefault="004868D3" w:rsidP="00865C52">
      <w:pPr>
        <w:pStyle w:val="ListParagraph"/>
        <w:numPr>
          <w:ilvl w:val="0"/>
          <w:numId w:val="11"/>
        </w:numPr>
        <w:spacing w:line="480" w:lineRule="auto"/>
        <w:jc w:val="both"/>
        <w:rPr>
          <w:sz w:val="24"/>
          <w:szCs w:val="24"/>
        </w:rPr>
      </w:pPr>
      <w:r w:rsidRPr="004868D3">
        <w:rPr>
          <w:i/>
          <w:sz w:val="24"/>
          <w:szCs w:val="24"/>
        </w:rPr>
        <w:t>Napue v. Illinois</w:t>
      </w:r>
      <w:r>
        <w:rPr>
          <w:sz w:val="24"/>
          <w:szCs w:val="24"/>
        </w:rPr>
        <w:t>, 360 U.S. 264 (1959)</w:t>
      </w:r>
    </w:p>
    <w:p w:rsidR="004868D3" w:rsidRDefault="004868D3" w:rsidP="004868D3">
      <w:pPr>
        <w:spacing w:line="360" w:lineRule="auto"/>
        <w:jc w:val="both"/>
        <w:rPr>
          <w:sz w:val="24"/>
          <w:szCs w:val="24"/>
        </w:rPr>
      </w:pPr>
    </w:p>
    <w:p w:rsidR="004868D3" w:rsidRDefault="004868D3" w:rsidP="004868D3">
      <w:pPr>
        <w:pStyle w:val="ListParagraph"/>
        <w:numPr>
          <w:ilvl w:val="0"/>
          <w:numId w:val="12"/>
        </w:numPr>
        <w:spacing w:after="240" w:line="360" w:lineRule="auto"/>
        <w:jc w:val="center"/>
        <w:rPr>
          <w:b/>
          <w:sz w:val="24"/>
          <w:szCs w:val="24"/>
        </w:rPr>
      </w:pPr>
      <w:r w:rsidRPr="00AC0435">
        <w:rPr>
          <w:b/>
          <w:i/>
          <w:sz w:val="24"/>
          <w:szCs w:val="24"/>
        </w:rPr>
        <w:lastRenderedPageBreak/>
        <w:t>BRADY</w:t>
      </w:r>
      <w:r>
        <w:rPr>
          <w:b/>
          <w:sz w:val="24"/>
          <w:szCs w:val="24"/>
        </w:rPr>
        <w:t xml:space="preserve"> VIOLATION – SUPPRESSION OF EXCULPATORY EVIDENCE</w:t>
      </w:r>
    </w:p>
    <w:p w:rsidR="004868D3" w:rsidRDefault="004868D3" w:rsidP="004868D3">
      <w:pPr>
        <w:spacing w:line="360" w:lineRule="auto"/>
        <w:jc w:val="both"/>
        <w:rPr>
          <w:sz w:val="24"/>
          <w:szCs w:val="24"/>
        </w:rPr>
      </w:pPr>
      <w:r>
        <w:rPr>
          <w:sz w:val="24"/>
          <w:szCs w:val="24"/>
        </w:rPr>
        <w:tab/>
        <w:t>The prosecution knowingly withheld a recorded interview with its own star witness, Paul Talley, dated April 14, 1999. In that interview:</w:t>
      </w:r>
    </w:p>
    <w:p w:rsidR="004868D3" w:rsidRDefault="004868D3" w:rsidP="004868D3">
      <w:pPr>
        <w:pStyle w:val="ListParagraph"/>
        <w:numPr>
          <w:ilvl w:val="0"/>
          <w:numId w:val="13"/>
        </w:numPr>
        <w:spacing w:line="360" w:lineRule="auto"/>
        <w:jc w:val="both"/>
        <w:rPr>
          <w:sz w:val="24"/>
          <w:szCs w:val="24"/>
        </w:rPr>
      </w:pPr>
      <w:r>
        <w:rPr>
          <w:sz w:val="24"/>
          <w:szCs w:val="24"/>
        </w:rPr>
        <w:t xml:space="preserve">Talley </w:t>
      </w:r>
      <w:r w:rsidRPr="004868D3">
        <w:rPr>
          <w:i/>
          <w:sz w:val="24"/>
          <w:szCs w:val="24"/>
        </w:rPr>
        <w:t>never implicated</w:t>
      </w:r>
      <w:r>
        <w:rPr>
          <w:sz w:val="24"/>
          <w:szCs w:val="24"/>
        </w:rPr>
        <w:t xml:space="preserve"> Petitioner in the murder of Andrew Titus.</w:t>
      </w:r>
    </w:p>
    <w:p w:rsidR="004868D3" w:rsidRPr="004868D3" w:rsidRDefault="004868D3" w:rsidP="004868D3">
      <w:pPr>
        <w:pStyle w:val="ListParagraph"/>
        <w:jc w:val="both"/>
        <w:rPr>
          <w:sz w:val="16"/>
          <w:szCs w:val="16"/>
        </w:rPr>
      </w:pPr>
    </w:p>
    <w:p w:rsidR="004868D3" w:rsidRDefault="004868D3" w:rsidP="004868D3">
      <w:pPr>
        <w:pStyle w:val="ListParagraph"/>
        <w:numPr>
          <w:ilvl w:val="0"/>
          <w:numId w:val="13"/>
        </w:numPr>
        <w:spacing w:line="360" w:lineRule="auto"/>
        <w:jc w:val="both"/>
        <w:rPr>
          <w:sz w:val="24"/>
          <w:szCs w:val="24"/>
        </w:rPr>
      </w:pPr>
      <w:r>
        <w:rPr>
          <w:sz w:val="24"/>
          <w:szCs w:val="24"/>
        </w:rPr>
        <w:t>Instead, Talley clearly stated that someone else – “Leevale’s brother” – committed the murder.</w:t>
      </w:r>
    </w:p>
    <w:p w:rsidR="004868D3" w:rsidRPr="004868D3" w:rsidRDefault="004868D3" w:rsidP="004868D3">
      <w:pPr>
        <w:pStyle w:val="ListParagraph"/>
        <w:jc w:val="both"/>
        <w:rPr>
          <w:sz w:val="16"/>
          <w:szCs w:val="16"/>
        </w:rPr>
      </w:pPr>
    </w:p>
    <w:p w:rsidR="004868D3" w:rsidRDefault="004868D3" w:rsidP="004868D3">
      <w:pPr>
        <w:pStyle w:val="ListParagraph"/>
        <w:numPr>
          <w:ilvl w:val="0"/>
          <w:numId w:val="13"/>
        </w:numPr>
        <w:spacing w:line="360" w:lineRule="auto"/>
        <w:jc w:val="both"/>
        <w:rPr>
          <w:sz w:val="24"/>
          <w:szCs w:val="24"/>
        </w:rPr>
      </w:pPr>
      <w:r>
        <w:rPr>
          <w:sz w:val="24"/>
          <w:szCs w:val="24"/>
        </w:rPr>
        <w:t>He identified the victim, the date (Super Bowl Sunday), and location without prompting, showing independent knowledge of the crime.</w:t>
      </w:r>
    </w:p>
    <w:p w:rsidR="004868D3" w:rsidRPr="004868D3" w:rsidRDefault="004868D3" w:rsidP="004868D3">
      <w:pPr>
        <w:pStyle w:val="ListParagraph"/>
        <w:rPr>
          <w:sz w:val="24"/>
          <w:szCs w:val="24"/>
        </w:rPr>
      </w:pPr>
    </w:p>
    <w:p w:rsidR="004868D3" w:rsidRDefault="004868D3" w:rsidP="00BD6C12">
      <w:pPr>
        <w:spacing w:after="240" w:line="360" w:lineRule="auto"/>
        <w:jc w:val="both"/>
        <w:rPr>
          <w:sz w:val="24"/>
          <w:szCs w:val="24"/>
        </w:rPr>
      </w:pPr>
      <w:r>
        <w:rPr>
          <w:sz w:val="24"/>
          <w:szCs w:val="24"/>
        </w:rPr>
        <w:t xml:space="preserve">This recording </w:t>
      </w:r>
      <w:r w:rsidRPr="004868D3">
        <w:rPr>
          <w:i/>
          <w:sz w:val="24"/>
          <w:szCs w:val="24"/>
        </w:rPr>
        <w:t>exonerated</w:t>
      </w:r>
      <w:r>
        <w:rPr>
          <w:sz w:val="24"/>
          <w:szCs w:val="24"/>
        </w:rPr>
        <w:t xml:space="preserve"> Petitioner and directly contradicted Talley’s later trial testimony – which the prosecution relied on to convict Petitioner.</w:t>
      </w:r>
    </w:p>
    <w:p w:rsidR="004868D3" w:rsidRDefault="004868D3" w:rsidP="00BD6C12">
      <w:pPr>
        <w:spacing w:after="240" w:line="360" w:lineRule="auto"/>
        <w:jc w:val="both"/>
        <w:rPr>
          <w:sz w:val="24"/>
          <w:szCs w:val="24"/>
        </w:rPr>
      </w:pPr>
      <w:r>
        <w:rPr>
          <w:sz w:val="24"/>
          <w:szCs w:val="24"/>
        </w:rPr>
        <w:tab/>
        <w:t xml:space="preserve">Under </w:t>
      </w:r>
      <w:r w:rsidRPr="00BD6C12">
        <w:rPr>
          <w:i/>
          <w:sz w:val="24"/>
          <w:szCs w:val="24"/>
        </w:rPr>
        <w:t>Brady</w:t>
      </w:r>
      <w:r>
        <w:rPr>
          <w:sz w:val="24"/>
          <w:szCs w:val="24"/>
        </w:rPr>
        <w:t xml:space="preserve">, the prosecution must disclose evidence that is favorable and material to guilt or punishment. The April 14, 1999 recording was both. The prosecution suppressed it for 24 years, and it was only uncovered in 2023 – in the file of an unrelated case </w:t>
      </w:r>
      <w:r w:rsidR="00BD6C12">
        <w:rPr>
          <w:sz w:val="24"/>
          <w:szCs w:val="24"/>
        </w:rPr>
        <w:t>– by new counsel.</w:t>
      </w:r>
    </w:p>
    <w:p w:rsidR="00BD6C12" w:rsidRDefault="00BD6C12" w:rsidP="00BD6C12">
      <w:pPr>
        <w:spacing w:after="240" w:line="360" w:lineRule="auto"/>
        <w:jc w:val="both"/>
        <w:rPr>
          <w:sz w:val="24"/>
          <w:szCs w:val="24"/>
        </w:rPr>
      </w:pPr>
      <w:r>
        <w:rPr>
          <w:sz w:val="24"/>
          <w:szCs w:val="24"/>
        </w:rPr>
        <w:tab/>
        <w:t xml:space="preserve">Under </w:t>
      </w:r>
      <w:r w:rsidRPr="00BD6C12">
        <w:rPr>
          <w:i/>
          <w:sz w:val="24"/>
          <w:szCs w:val="24"/>
        </w:rPr>
        <w:t>Kyle</w:t>
      </w:r>
      <w:r>
        <w:rPr>
          <w:sz w:val="24"/>
          <w:szCs w:val="24"/>
        </w:rPr>
        <w:t>, even suppressed evidence that “might have” affected the jury’s judgment must be disclosed. Here, the suppressed evidence would have obliterated the prosecution’s case, as it proves that:</w:t>
      </w:r>
    </w:p>
    <w:p w:rsidR="00BD6C12" w:rsidRDefault="00BD6C12" w:rsidP="00BD6C12">
      <w:pPr>
        <w:pStyle w:val="ListParagraph"/>
        <w:numPr>
          <w:ilvl w:val="0"/>
          <w:numId w:val="14"/>
        </w:numPr>
        <w:spacing w:line="360" w:lineRule="auto"/>
        <w:jc w:val="both"/>
        <w:rPr>
          <w:sz w:val="24"/>
          <w:szCs w:val="24"/>
        </w:rPr>
      </w:pPr>
      <w:r>
        <w:rPr>
          <w:sz w:val="24"/>
          <w:szCs w:val="24"/>
        </w:rPr>
        <w:t>The State’s star witness originally identified someone else as the killer;</w:t>
      </w:r>
    </w:p>
    <w:p w:rsidR="00BD6C12" w:rsidRPr="00BD6C12" w:rsidRDefault="00BD6C12" w:rsidP="00BD6C12">
      <w:pPr>
        <w:pStyle w:val="ListParagraph"/>
        <w:spacing w:line="360" w:lineRule="auto"/>
        <w:jc w:val="both"/>
        <w:rPr>
          <w:sz w:val="16"/>
          <w:szCs w:val="16"/>
        </w:rPr>
      </w:pPr>
    </w:p>
    <w:p w:rsidR="00BD6C12" w:rsidRDefault="00BD6C12" w:rsidP="00BD6C12">
      <w:pPr>
        <w:pStyle w:val="ListParagraph"/>
        <w:numPr>
          <w:ilvl w:val="0"/>
          <w:numId w:val="14"/>
        </w:numPr>
        <w:spacing w:line="360" w:lineRule="auto"/>
        <w:jc w:val="both"/>
        <w:rPr>
          <w:sz w:val="24"/>
          <w:szCs w:val="24"/>
        </w:rPr>
      </w:pPr>
      <w:r>
        <w:rPr>
          <w:sz w:val="24"/>
          <w:szCs w:val="24"/>
        </w:rPr>
        <w:t>Petitioner was not implicated at all;</w:t>
      </w:r>
    </w:p>
    <w:p w:rsidR="00BD6C12" w:rsidRPr="00BD6C12" w:rsidRDefault="00BD6C12" w:rsidP="00BD6C12">
      <w:pPr>
        <w:pStyle w:val="ListParagraph"/>
        <w:rPr>
          <w:sz w:val="24"/>
          <w:szCs w:val="24"/>
        </w:rPr>
      </w:pPr>
    </w:p>
    <w:p w:rsidR="00BD6C12" w:rsidRDefault="00BD6C12" w:rsidP="00BD6C12">
      <w:pPr>
        <w:pStyle w:val="ListParagraph"/>
        <w:numPr>
          <w:ilvl w:val="0"/>
          <w:numId w:val="14"/>
        </w:numPr>
        <w:spacing w:line="360" w:lineRule="auto"/>
        <w:jc w:val="both"/>
        <w:rPr>
          <w:sz w:val="24"/>
          <w:szCs w:val="24"/>
        </w:rPr>
      </w:pPr>
      <w:r>
        <w:rPr>
          <w:sz w:val="24"/>
          <w:szCs w:val="24"/>
        </w:rPr>
        <w:t>The police and prosecution buried this evidence.</w:t>
      </w:r>
    </w:p>
    <w:p w:rsidR="00BD6C12" w:rsidRPr="00BD6C12" w:rsidRDefault="00BD6C12" w:rsidP="00BD6C12">
      <w:pPr>
        <w:pStyle w:val="ListParagraph"/>
        <w:rPr>
          <w:sz w:val="24"/>
          <w:szCs w:val="24"/>
        </w:rPr>
      </w:pPr>
    </w:p>
    <w:p w:rsidR="00BD6C12" w:rsidRDefault="00BD6C12" w:rsidP="00AC0435">
      <w:pPr>
        <w:spacing w:after="240" w:line="360" w:lineRule="auto"/>
        <w:jc w:val="both"/>
        <w:rPr>
          <w:sz w:val="24"/>
          <w:szCs w:val="24"/>
        </w:rPr>
      </w:pPr>
      <w:r>
        <w:rPr>
          <w:sz w:val="24"/>
          <w:szCs w:val="24"/>
        </w:rPr>
        <w:tab/>
      </w:r>
      <w:r w:rsidR="00AC0435">
        <w:rPr>
          <w:sz w:val="24"/>
          <w:szCs w:val="24"/>
        </w:rPr>
        <w:t>And i</w:t>
      </w:r>
      <w:r>
        <w:rPr>
          <w:sz w:val="24"/>
          <w:szCs w:val="24"/>
        </w:rPr>
        <w:t xml:space="preserve">n </w:t>
      </w:r>
      <w:r w:rsidRPr="00AC0435">
        <w:rPr>
          <w:i/>
          <w:sz w:val="24"/>
          <w:szCs w:val="24"/>
        </w:rPr>
        <w:t>Agurs</w:t>
      </w:r>
      <w:r>
        <w:rPr>
          <w:sz w:val="24"/>
          <w:szCs w:val="24"/>
        </w:rPr>
        <w:t>, the Court held explicitly that “[</w:t>
      </w:r>
      <w:proofErr w:type="spellStart"/>
      <w:r>
        <w:rPr>
          <w:sz w:val="24"/>
          <w:szCs w:val="24"/>
        </w:rPr>
        <w:t>i</w:t>
      </w:r>
      <w:proofErr w:type="spellEnd"/>
      <w:r>
        <w:rPr>
          <w:sz w:val="24"/>
          <w:szCs w:val="24"/>
        </w:rPr>
        <w:t>]f, for example, one of only two eyewitnesses to a crime had told the prosecutor that the defendant was definitely not its perpetrator and if this statement was not disclosed to the defense, no court would hesitate to reverse a conviction</w:t>
      </w:r>
      <w:r w:rsidR="00AC0435">
        <w:rPr>
          <w:sz w:val="24"/>
          <w:szCs w:val="24"/>
        </w:rPr>
        <w:t xml:space="preserve"> resting on the testimony of the other eyewitness.”</w:t>
      </w:r>
      <w:r w:rsidR="002452F8">
        <w:rPr>
          <w:sz w:val="24"/>
          <w:szCs w:val="24"/>
        </w:rPr>
        <w:t xml:space="preserve"> </w:t>
      </w:r>
    </w:p>
    <w:p w:rsidR="00BD6C12" w:rsidRPr="00BD6C12" w:rsidRDefault="00BD6C12" w:rsidP="004B5EC7">
      <w:pPr>
        <w:spacing w:after="240" w:line="360" w:lineRule="auto"/>
        <w:jc w:val="both"/>
        <w:rPr>
          <w:sz w:val="24"/>
          <w:szCs w:val="24"/>
        </w:rPr>
      </w:pPr>
      <w:r>
        <w:rPr>
          <w:sz w:val="24"/>
          <w:szCs w:val="24"/>
        </w:rPr>
        <w:t xml:space="preserve">This is a textbook </w:t>
      </w:r>
      <w:r w:rsidRPr="00BD6C12">
        <w:rPr>
          <w:i/>
          <w:sz w:val="24"/>
          <w:szCs w:val="24"/>
        </w:rPr>
        <w:t>Brady</w:t>
      </w:r>
      <w:r>
        <w:rPr>
          <w:sz w:val="24"/>
          <w:szCs w:val="24"/>
        </w:rPr>
        <w:t xml:space="preserve"> / </w:t>
      </w:r>
      <w:r w:rsidRPr="00BD6C12">
        <w:rPr>
          <w:i/>
          <w:sz w:val="24"/>
          <w:szCs w:val="24"/>
        </w:rPr>
        <w:t>Kyles</w:t>
      </w:r>
      <w:r>
        <w:rPr>
          <w:sz w:val="24"/>
          <w:szCs w:val="24"/>
        </w:rPr>
        <w:t xml:space="preserve"> / </w:t>
      </w:r>
      <w:r w:rsidRPr="00BD6C12">
        <w:rPr>
          <w:i/>
          <w:sz w:val="24"/>
          <w:szCs w:val="24"/>
        </w:rPr>
        <w:t>Agurs</w:t>
      </w:r>
      <w:r>
        <w:rPr>
          <w:sz w:val="24"/>
          <w:szCs w:val="24"/>
        </w:rPr>
        <w:t xml:space="preserve"> violation.</w:t>
      </w:r>
    </w:p>
    <w:bookmarkEnd w:id="1"/>
    <w:p w:rsidR="006F2387" w:rsidRDefault="00AC0435" w:rsidP="00AC0435">
      <w:pPr>
        <w:pStyle w:val="ListParagraph"/>
        <w:numPr>
          <w:ilvl w:val="0"/>
          <w:numId w:val="12"/>
        </w:numPr>
        <w:spacing w:after="240" w:line="276" w:lineRule="auto"/>
        <w:jc w:val="center"/>
        <w:rPr>
          <w:b/>
          <w:sz w:val="24"/>
          <w:szCs w:val="24"/>
        </w:rPr>
      </w:pPr>
      <w:r w:rsidRPr="00AC0435">
        <w:rPr>
          <w:b/>
          <w:i/>
          <w:sz w:val="24"/>
          <w:szCs w:val="24"/>
        </w:rPr>
        <w:lastRenderedPageBreak/>
        <w:t>GIGLIO</w:t>
      </w:r>
      <w:r>
        <w:rPr>
          <w:b/>
          <w:sz w:val="24"/>
          <w:szCs w:val="24"/>
        </w:rPr>
        <w:t xml:space="preserve"> / </w:t>
      </w:r>
      <w:r w:rsidRPr="00AC0435">
        <w:rPr>
          <w:b/>
          <w:i/>
          <w:sz w:val="24"/>
          <w:szCs w:val="24"/>
        </w:rPr>
        <w:t>NAPUE</w:t>
      </w:r>
      <w:r w:rsidR="007227F0">
        <w:rPr>
          <w:b/>
          <w:sz w:val="24"/>
          <w:szCs w:val="24"/>
        </w:rPr>
        <w:t xml:space="preserve"> </w:t>
      </w:r>
      <w:r w:rsidR="002452F8">
        <w:rPr>
          <w:b/>
          <w:sz w:val="24"/>
          <w:szCs w:val="24"/>
        </w:rPr>
        <w:t xml:space="preserve">/ </w:t>
      </w:r>
      <w:r w:rsidR="002452F8" w:rsidRPr="002452F8">
        <w:rPr>
          <w:b/>
          <w:i/>
          <w:sz w:val="24"/>
          <w:szCs w:val="24"/>
        </w:rPr>
        <w:t>BAGLEY</w:t>
      </w:r>
      <w:r w:rsidR="002452F8">
        <w:rPr>
          <w:b/>
          <w:sz w:val="24"/>
          <w:szCs w:val="24"/>
        </w:rPr>
        <w:t xml:space="preserve"> </w:t>
      </w:r>
      <w:r>
        <w:rPr>
          <w:b/>
          <w:sz w:val="24"/>
          <w:szCs w:val="24"/>
        </w:rPr>
        <w:t>VIOLATION</w:t>
      </w:r>
      <w:r w:rsidR="002452F8">
        <w:rPr>
          <w:b/>
          <w:sz w:val="24"/>
          <w:szCs w:val="24"/>
        </w:rPr>
        <w:t>S</w:t>
      </w:r>
      <w:r>
        <w:rPr>
          <w:b/>
          <w:sz w:val="24"/>
          <w:szCs w:val="24"/>
        </w:rPr>
        <w:t xml:space="preserve"> – FALSE TESTIMONY ABOUT SECRET DEALS</w:t>
      </w:r>
    </w:p>
    <w:p w:rsidR="00AC0435" w:rsidRDefault="00AC0435" w:rsidP="004B5EC7">
      <w:pPr>
        <w:spacing w:after="240" w:line="360" w:lineRule="auto"/>
        <w:jc w:val="both"/>
        <w:rPr>
          <w:sz w:val="24"/>
          <w:szCs w:val="24"/>
        </w:rPr>
      </w:pPr>
      <w:r>
        <w:rPr>
          <w:sz w:val="24"/>
          <w:szCs w:val="24"/>
        </w:rPr>
        <w:tab/>
      </w:r>
      <w:r w:rsidR="004B5EC7">
        <w:rPr>
          <w:sz w:val="24"/>
          <w:szCs w:val="24"/>
        </w:rPr>
        <w:t xml:space="preserve">As per </w:t>
      </w:r>
      <w:r w:rsidR="004B5EC7" w:rsidRPr="00E14657">
        <w:rPr>
          <w:i/>
          <w:sz w:val="24"/>
          <w:szCs w:val="24"/>
        </w:rPr>
        <w:t>Bagley</w:t>
      </w:r>
      <w:r w:rsidR="004B5EC7">
        <w:rPr>
          <w:sz w:val="24"/>
          <w:szCs w:val="24"/>
        </w:rPr>
        <w:t xml:space="preserve">, the prosecution was required to turn over to the defense the existence of any deals made with self-alleged accomplices Paul Talley and Leevale Glenn in return for their testimonies. </w:t>
      </w:r>
      <w:r>
        <w:rPr>
          <w:sz w:val="24"/>
          <w:szCs w:val="24"/>
        </w:rPr>
        <w:t>At trial, both Paul Talley and Torrey Leevale Glenn testified that:</w:t>
      </w:r>
    </w:p>
    <w:p w:rsidR="00AC0435" w:rsidRPr="00AC0435" w:rsidRDefault="00AC0435" w:rsidP="00AC0435">
      <w:pPr>
        <w:pStyle w:val="ListParagraph"/>
        <w:numPr>
          <w:ilvl w:val="0"/>
          <w:numId w:val="15"/>
        </w:numPr>
        <w:spacing w:after="240" w:line="276" w:lineRule="auto"/>
        <w:jc w:val="both"/>
        <w:rPr>
          <w:b/>
          <w:sz w:val="24"/>
          <w:szCs w:val="24"/>
        </w:rPr>
      </w:pPr>
      <w:r>
        <w:rPr>
          <w:sz w:val="24"/>
          <w:szCs w:val="24"/>
        </w:rPr>
        <w:t>They received no deals or even “suggestions” of deals;</w:t>
      </w:r>
    </w:p>
    <w:p w:rsidR="00AC0435" w:rsidRPr="00AC0435" w:rsidRDefault="00AC0435" w:rsidP="00AC0435">
      <w:pPr>
        <w:pStyle w:val="ListParagraph"/>
        <w:spacing w:after="240" w:line="276" w:lineRule="auto"/>
        <w:jc w:val="both"/>
        <w:rPr>
          <w:b/>
          <w:sz w:val="16"/>
          <w:szCs w:val="16"/>
        </w:rPr>
      </w:pPr>
    </w:p>
    <w:p w:rsidR="00AC0435" w:rsidRDefault="00AC0435" w:rsidP="00AC0435">
      <w:pPr>
        <w:pStyle w:val="ListParagraph"/>
        <w:numPr>
          <w:ilvl w:val="0"/>
          <w:numId w:val="15"/>
        </w:numPr>
        <w:spacing w:line="276" w:lineRule="auto"/>
        <w:jc w:val="both"/>
        <w:rPr>
          <w:sz w:val="24"/>
          <w:szCs w:val="24"/>
        </w:rPr>
      </w:pPr>
      <w:r w:rsidRPr="00AC0435">
        <w:rPr>
          <w:sz w:val="24"/>
          <w:szCs w:val="24"/>
        </w:rPr>
        <w:t>They were testifying against Petitioner purely out of conscience.</w:t>
      </w:r>
    </w:p>
    <w:p w:rsidR="00AC0435" w:rsidRPr="00AC0435" w:rsidRDefault="00AC0435" w:rsidP="00AC0435">
      <w:pPr>
        <w:pStyle w:val="ListParagraph"/>
        <w:rPr>
          <w:sz w:val="24"/>
          <w:szCs w:val="24"/>
        </w:rPr>
      </w:pPr>
    </w:p>
    <w:p w:rsidR="00AC0435" w:rsidRDefault="00AC0435" w:rsidP="00AC0435">
      <w:pPr>
        <w:spacing w:after="240" w:line="276" w:lineRule="auto"/>
        <w:jc w:val="both"/>
        <w:rPr>
          <w:sz w:val="24"/>
          <w:szCs w:val="24"/>
        </w:rPr>
      </w:pPr>
      <w:r>
        <w:rPr>
          <w:sz w:val="24"/>
          <w:szCs w:val="24"/>
        </w:rPr>
        <w:t>This was false.</w:t>
      </w:r>
    </w:p>
    <w:p w:rsidR="00AC0435" w:rsidRDefault="00AC0435" w:rsidP="00AC0435">
      <w:pPr>
        <w:spacing w:after="240" w:line="276" w:lineRule="auto"/>
        <w:jc w:val="both"/>
        <w:rPr>
          <w:sz w:val="24"/>
          <w:szCs w:val="24"/>
        </w:rPr>
      </w:pPr>
      <w:r>
        <w:rPr>
          <w:sz w:val="24"/>
          <w:szCs w:val="24"/>
        </w:rPr>
        <w:tab/>
        <w:t>Later sworn testimony and documents reveal:</w:t>
      </w:r>
    </w:p>
    <w:p w:rsidR="00AC0435" w:rsidRDefault="00AC0435" w:rsidP="00AC0435">
      <w:pPr>
        <w:pStyle w:val="ListParagraph"/>
        <w:numPr>
          <w:ilvl w:val="0"/>
          <w:numId w:val="16"/>
        </w:numPr>
        <w:spacing w:line="276" w:lineRule="auto"/>
        <w:jc w:val="both"/>
        <w:rPr>
          <w:sz w:val="24"/>
          <w:szCs w:val="24"/>
        </w:rPr>
      </w:pPr>
      <w:r>
        <w:rPr>
          <w:sz w:val="24"/>
          <w:szCs w:val="24"/>
        </w:rPr>
        <w:t xml:space="preserve">Talley received a 4-year sentence for his admitted role in the Titus murder, to run concurrently with his 15-year unrelated sentence – meaning </w:t>
      </w:r>
      <w:r w:rsidRPr="00AC0435">
        <w:rPr>
          <w:i/>
          <w:sz w:val="24"/>
          <w:szCs w:val="24"/>
        </w:rPr>
        <w:t>he served zero extra time</w:t>
      </w:r>
      <w:r>
        <w:rPr>
          <w:sz w:val="24"/>
          <w:szCs w:val="24"/>
        </w:rPr>
        <w:t>.</w:t>
      </w:r>
    </w:p>
    <w:p w:rsidR="00AC0435" w:rsidRPr="00AC0435" w:rsidRDefault="00AC0435" w:rsidP="00AC0435">
      <w:pPr>
        <w:pStyle w:val="ListParagraph"/>
        <w:spacing w:line="276" w:lineRule="auto"/>
        <w:jc w:val="both"/>
        <w:rPr>
          <w:sz w:val="16"/>
          <w:szCs w:val="16"/>
        </w:rPr>
      </w:pPr>
    </w:p>
    <w:p w:rsidR="00AC0435" w:rsidRDefault="00AC0435" w:rsidP="00AC0435">
      <w:pPr>
        <w:pStyle w:val="ListParagraph"/>
        <w:numPr>
          <w:ilvl w:val="0"/>
          <w:numId w:val="16"/>
        </w:numPr>
        <w:spacing w:line="276" w:lineRule="auto"/>
        <w:jc w:val="both"/>
        <w:rPr>
          <w:sz w:val="24"/>
          <w:szCs w:val="24"/>
        </w:rPr>
      </w:pPr>
      <w:r>
        <w:rPr>
          <w:sz w:val="24"/>
          <w:szCs w:val="24"/>
        </w:rPr>
        <w:t xml:space="preserve">Prosecutor Lisa Naylor wrote to the parole board praising Talley’s cooperation shortly after Petitioner’s conviction – resulting in Talley’s release </w:t>
      </w:r>
      <w:r w:rsidRPr="00AC0435">
        <w:rPr>
          <w:i/>
          <w:sz w:val="24"/>
          <w:szCs w:val="24"/>
        </w:rPr>
        <w:t>three months after trial</w:t>
      </w:r>
      <w:r>
        <w:rPr>
          <w:sz w:val="24"/>
          <w:szCs w:val="24"/>
        </w:rPr>
        <w:t>.</w:t>
      </w:r>
    </w:p>
    <w:p w:rsidR="00AC0435" w:rsidRPr="00AC0435" w:rsidRDefault="00AC0435" w:rsidP="00AC0435">
      <w:pPr>
        <w:pStyle w:val="ListParagraph"/>
        <w:rPr>
          <w:sz w:val="24"/>
          <w:szCs w:val="24"/>
        </w:rPr>
      </w:pPr>
    </w:p>
    <w:p w:rsidR="00AC0435" w:rsidRDefault="00AC0435" w:rsidP="00AC0435">
      <w:pPr>
        <w:pStyle w:val="ListParagraph"/>
        <w:numPr>
          <w:ilvl w:val="0"/>
          <w:numId w:val="16"/>
        </w:numPr>
        <w:spacing w:line="276" w:lineRule="auto"/>
        <w:jc w:val="both"/>
        <w:rPr>
          <w:sz w:val="24"/>
          <w:szCs w:val="24"/>
        </w:rPr>
      </w:pPr>
      <w:r>
        <w:rPr>
          <w:sz w:val="24"/>
          <w:szCs w:val="24"/>
        </w:rPr>
        <w:t xml:space="preserve">Talley </w:t>
      </w:r>
      <w:r w:rsidRPr="00AC0435">
        <w:rPr>
          <w:i/>
          <w:sz w:val="24"/>
          <w:szCs w:val="24"/>
        </w:rPr>
        <w:t>recanted fully</w:t>
      </w:r>
      <w:r>
        <w:rPr>
          <w:sz w:val="24"/>
          <w:szCs w:val="24"/>
        </w:rPr>
        <w:t xml:space="preserve"> in court, admitting: “Mr. Thomas was not</w:t>
      </w:r>
      <w:r w:rsidR="00083881">
        <w:rPr>
          <w:sz w:val="24"/>
          <w:szCs w:val="24"/>
        </w:rPr>
        <w:t xml:space="preserve"> involved in this murder… I lied on him because of the deal I made with the prosecution.”</w:t>
      </w:r>
    </w:p>
    <w:p w:rsidR="00083881" w:rsidRPr="00083881" w:rsidRDefault="00083881" w:rsidP="00083881">
      <w:pPr>
        <w:pStyle w:val="ListParagraph"/>
        <w:rPr>
          <w:sz w:val="24"/>
          <w:szCs w:val="24"/>
        </w:rPr>
      </w:pPr>
    </w:p>
    <w:p w:rsidR="00083881" w:rsidRDefault="00083881" w:rsidP="004B5EC7">
      <w:pPr>
        <w:spacing w:after="240" w:line="360" w:lineRule="auto"/>
        <w:jc w:val="both"/>
        <w:rPr>
          <w:sz w:val="24"/>
          <w:szCs w:val="24"/>
        </w:rPr>
      </w:pPr>
      <w:r>
        <w:rPr>
          <w:sz w:val="24"/>
          <w:szCs w:val="24"/>
        </w:rPr>
        <w:t xml:space="preserve">Per </w:t>
      </w:r>
      <w:r w:rsidRPr="007D49E5">
        <w:rPr>
          <w:i/>
          <w:sz w:val="24"/>
          <w:szCs w:val="24"/>
        </w:rPr>
        <w:t>Giglio</w:t>
      </w:r>
      <w:r w:rsidR="007227F0">
        <w:rPr>
          <w:sz w:val="24"/>
          <w:szCs w:val="24"/>
        </w:rPr>
        <w:t>,</w:t>
      </w:r>
      <w:r w:rsidR="00E14657">
        <w:rPr>
          <w:sz w:val="24"/>
          <w:szCs w:val="24"/>
        </w:rPr>
        <w:t xml:space="preserve"> and</w:t>
      </w:r>
      <w:r>
        <w:rPr>
          <w:sz w:val="24"/>
          <w:szCs w:val="24"/>
        </w:rPr>
        <w:t xml:space="preserve"> </w:t>
      </w:r>
      <w:r w:rsidRPr="007D49E5">
        <w:rPr>
          <w:i/>
          <w:sz w:val="24"/>
          <w:szCs w:val="24"/>
        </w:rPr>
        <w:t>Napue</w:t>
      </w:r>
      <w:r>
        <w:rPr>
          <w:sz w:val="24"/>
          <w:szCs w:val="24"/>
        </w:rPr>
        <w:t>, the prosecution’s duty to</w:t>
      </w:r>
      <w:r w:rsidR="00E14657">
        <w:rPr>
          <w:sz w:val="24"/>
          <w:szCs w:val="24"/>
        </w:rPr>
        <w:t xml:space="preserve"> </w:t>
      </w:r>
      <w:r>
        <w:rPr>
          <w:sz w:val="24"/>
          <w:szCs w:val="24"/>
        </w:rPr>
        <w:t>correct false testimony is constitutional</w:t>
      </w:r>
      <w:r w:rsidR="007D49E5">
        <w:rPr>
          <w:sz w:val="24"/>
          <w:szCs w:val="24"/>
        </w:rPr>
        <w:t xml:space="preserve"> and non-negotiable. Allowing Talley and Glenn to falsely deny any benefit misled the jury, corrupted the truth-seeking process, and denied Petitioner due process.</w:t>
      </w:r>
      <w:r w:rsidR="00E14657">
        <w:rPr>
          <w:sz w:val="24"/>
          <w:szCs w:val="24"/>
        </w:rPr>
        <w:t xml:space="preserve"> </w:t>
      </w:r>
    </w:p>
    <w:p w:rsidR="007D49E5" w:rsidRDefault="007D49E5" w:rsidP="00083881">
      <w:pPr>
        <w:spacing w:line="276" w:lineRule="auto"/>
        <w:jc w:val="both"/>
        <w:rPr>
          <w:sz w:val="24"/>
          <w:szCs w:val="24"/>
        </w:rPr>
      </w:pPr>
    </w:p>
    <w:p w:rsidR="007D49E5" w:rsidRDefault="00EE0347" w:rsidP="002452F8">
      <w:pPr>
        <w:pStyle w:val="ListParagraph"/>
        <w:numPr>
          <w:ilvl w:val="0"/>
          <w:numId w:val="12"/>
        </w:numPr>
        <w:spacing w:line="276" w:lineRule="auto"/>
        <w:jc w:val="center"/>
        <w:rPr>
          <w:b/>
          <w:sz w:val="24"/>
          <w:szCs w:val="24"/>
        </w:rPr>
      </w:pPr>
      <w:r>
        <w:rPr>
          <w:b/>
          <w:sz w:val="24"/>
          <w:szCs w:val="24"/>
        </w:rPr>
        <w:t>TALLEY’S FULL RECANTATION CONFIRMS PETITIONER’S INNOCENCE</w:t>
      </w:r>
    </w:p>
    <w:p w:rsidR="00EE0347" w:rsidRDefault="00EE0347" w:rsidP="00EE0347">
      <w:pPr>
        <w:spacing w:line="276" w:lineRule="auto"/>
        <w:jc w:val="center"/>
        <w:rPr>
          <w:b/>
          <w:sz w:val="24"/>
          <w:szCs w:val="24"/>
        </w:rPr>
      </w:pPr>
    </w:p>
    <w:p w:rsidR="00EE0347" w:rsidRDefault="00EE0347" w:rsidP="00EE0347">
      <w:pPr>
        <w:spacing w:after="240" w:line="360" w:lineRule="auto"/>
        <w:jc w:val="both"/>
        <w:rPr>
          <w:sz w:val="24"/>
          <w:szCs w:val="24"/>
        </w:rPr>
      </w:pPr>
      <w:r>
        <w:rPr>
          <w:sz w:val="24"/>
          <w:szCs w:val="24"/>
        </w:rPr>
        <w:tab/>
        <w:t>In 2010 (affidavit), 2014 (open court testimony in error coram nobis hearing), and again in 2025 (tolling hearing), Paul Talley fully recanted his now-known false trial testimony, stating under oath that:</w:t>
      </w:r>
    </w:p>
    <w:p w:rsidR="00EE0347" w:rsidRDefault="00EE0347" w:rsidP="00EE0347">
      <w:pPr>
        <w:pStyle w:val="ListParagraph"/>
        <w:numPr>
          <w:ilvl w:val="0"/>
          <w:numId w:val="17"/>
        </w:numPr>
        <w:spacing w:line="360" w:lineRule="auto"/>
        <w:jc w:val="both"/>
        <w:rPr>
          <w:sz w:val="24"/>
          <w:szCs w:val="24"/>
        </w:rPr>
      </w:pPr>
      <w:r>
        <w:rPr>
          <w:sz w:val="24"/>
          <w:szCs w:val="24"/>
        </w:rPr>
        <w:t>He lied at trial about Petitioner’s involvement;</w:t>
      </w:r>
    </w:p>
    <w:p w:rsidR="00EE0347" w:rsidRPr="00EE0347" w:rsidRDefault="00EE0347" w:rsidP="00EE0347">
      <w:pPr>
        <w:pStyle w:val="ListParagraph"/>
        <w:spacing w:line="360" w:lineRule="auto"/>
        <w:jc w:val="both"/>
        <w:rPr>
          <w:sz w:val="16"/>
          <w:szCs w:val="16"/>
        </w:rPr>
      </w:pPr>
    </w:p>
    <w:p w:rsidR="00EE0347" w:rsidRDefault="00EE0347" w:rsidP="00EE0347">
      <w:pPr>
        <w:pStyle w:val="ListParagraph"/>
        <w:numPr>
          <w:ilvl w:val="0"/>
          <w:numId w:val="17"/>
        </w:numPr>
        <w:spacing w:line="360" w:lineRule="auto"/>
        <w:jc w:val="both"/>
        <w:rPr>
          <w:sz w:val="24"/>
          <w:szCs w:val="24"/>
        </w:rPr>
      </w:pPr>
      <w:r>
        <w:rPr>
          <w:sz w:val="24"/>
          <w:szCs w:val="24"/>
        </w:rPr>
        <w:t>Petitioner was not present at the scene of the crime;</w:t>
      </w:r>
    </w:p>
    <w:p w:rsidR="00EE0347" w:rsidRPr="00EE0347" w:rsidRDefault="00EE0347" w:rsidP="00EE0347">
      <w:pPr>
        <w:pStyle w:val="ListParagraph"/>
        <w:rPr>
          <w:sz w:val="16"/>
          <w:szCs w:val="16"/>
        </w:rPr>
      </w:pPr>
    </w:p>
    <w:p w:rsidR="00EE0347" w:rsidRDefault="00EE0347" w:rsidP="00EE0347">
      <w:pPr>
        <w:pStyle w:val="ListParagraph"/>
        <w:numPr>
          <w:ilvl w:val="0"/>
          <w:numId w:val="17"/>
        </w:numPr>
        <w:spacing w:line="360" w:lineRule="auto"/>
        <w:jc w:val="both"/>
        <w:rPr>
          <w:sz w:val="24"/>
          <w:szCs w:val="24"/>
        </w:rPr>
      </w:pPr>
      <w:r>
        <w:rPr>
          <w:sz w:val="24"/>
          <w:szCs w:val="24"/>
        </w:rPr>
        <w:lastRenderedPageBreak/>
        <w:t>Talley falsely testified to protect himself and uphold the secret deal made with prosecutors;</w:t>
      </w:r>
    </w:p>
    <w:p w:rsidR="00EE0347" w:rsidRPr="00EE0347" w:rsidRDefault="00EE0347" w:rsidP="00EE0347">
      <w:pPr>
        <w:pStyle w:val="ListParagraph"/>
        <w:rPr>
          <w:sz w:val="16"/>
          <w:szCs w:val="16"/>
        </w:rPr>
      </w:pPr>
    </w:p>
    <w:p w:rsidR="00EE0347" w:rsidRDefault="00EE0347" w:rsidP="00EE0347">
      <w:pPr>
        <w:pStyle w:val="ListParagraph"/>
        <w:numPr>
          <w:ilvl w:val="0"/>
          <w:numId w:val="17"/>
        </w:numPr>
        <w:spacing w:line="360" w:lineRule="auto"/>
        <w:jc w:val="both"/>
        <w:rPr>
          <w:sz w:val="24"/>
          <w:szCs w:val="24"/>
        </w:rPr>
      </w:pPr>
      <w:r>
        <w:rPr>
          <w:sz w:val="24"/>
          <w:szCs w:val="24"/>
        </w:rPr>
        <w:t>The actual shooter was Arkie Bryant, now deceased – and Torrey Leevale Glenn’s brother;</w:t>
      </w:r>
    </w:p>
    <w:p w:rsidR="00EE0347" w:rsidRPr="00EE0347" w:rsidRDefault="00EE0347" w:rsidP="00EE0347">
      <w:pPr>
        <w:pStyle w:val="ListParagraph"/>
        <w:rPr>
          <w:sz w:val="16"/>
          <w:szCs w:val="16"/>
        </w:rPr>
      </w:pPr>
    </w:p>
    <w:p w:rsidR="00EE0347" w:rsidRDefault="00EE0347" w:rsidP="004B5EC7">
      <w:pPr>
        <w:pStyle w:val="ListParagraph"/>
        <w:numPr>
          <w:ilvl w:val="0"/>
          <w:numId w:val="17"/>
        </w:numPr>
        <w:spacing w:after="240" w:line="360" w:lineRule="auto"/>
        <w:jc w:val="both"/>
        <w:rPr>
          <w:sz w:val="24"/>
          <w:szCs w:val="24"/>
        </w:rPr>
      </w:pPr>
      <w:r>
        <w:rPr>
          <w:sz w:val="24"/>
          <w:szCs w:val="24"/>
        </w:rPr>
        <w:t>Prosecutor Lisa Naylor asked him to help get “Delo off the streets.”</w:t>
      </w:r>
    </w:p>
    <w:p w:rsidR="00EE0347" w:rsidRDefault="00EE0347" w:rsidP="004B5EC7">
      <w:pPr>
        <w:spacing w:after="240" w:line="360" w:lineRule="auto"/>
        <w:jc w:val="both"/>
        <w:rPr>
          <w:sz w:val="24"/>
          <w:szCs w:val="24"/>
        </w:rPr>
      </w:pPr>
      <w:r>
        <w:rPr>
          <w:sz w:val="24"/>
          <w:szCs w:val="24"/>
        </w:rPr>
        <w:t xml:space="preserve">Paul Talley’s testimony was consistent, detailed, and under oath – meeting the credibility standards for recantation evidence recognized by federal courts, especially when corroborated by the suppressed </w:t>
      </w:r>
      <w:r w:rsidRPr="00EE0347">
        <w:rPr>
          <w:i/>
          <w:sz w:val="24"/>
          <w:szCs w:val="24"/>
        </w:rPr>
        <w:t>Brady</w:t>
      </w:r>
      <w:r>
        <w:rPr>
          <w:sz w:val="24"/>
          <w:szCs w:val="24"/>
        </w:rPr>
        <w:t xml:space="preserve"> material of the undisclosed April 14, 1999 police interview.</w:t>
      </w:r>
    </w:p>
    <w:p w:rsidR="00A07DD2" w:rsidRDefault="00A07DD2" w:rsidP="00EE0347">
      <w:pPr>
        <w:spacing w:line="360" w:lineRule="auto"/>
        <w:jc w:val="both"/>
        <w:rPr>
          <w:sz w:val="24"/>
          <w:szCs w:val="24"/>
        </w:rPr>
      </w:pPr>
    </w:p>
    <w:p w:rsidR="00A07DD2" w:rsidRDefault="00A07DD2" w:rsidP="00A07DD2">
      <w:pPr>
        <w:pStyle w:val="ListParagraph"/>
        <w:numPr>
          <w:ilvl w:val="0"/>
          <w:numId w:val="12"/>
        </w:numPr>
        <w:spacing w:after="240" w:line="276" w:lineRule="auto"/>
        <w:jc w:val="center"/>
        <w:rPr>
          <w:b/>
          <w:sz w:val="24"/>
          <w:szCs w:val="24"/>
        </w:rPr>
      </w:pPr>
      <w:r>
        <w:rPr>
          <w:b/>
          <w:sz w:val="24"/>
          <w:szCs w:val="24"/>
        </w:rPr>
        <w:t xml:space="preserve">NEWLY DISCOVERED EVIDENCE &amp; PROSECUTORIAL </w:t>
      </w:r>
      <w:r w:rsidRPr="00A07DD2">
        <w:rPr>
          <w:b/>
          <w:sz w:val="24"/>
          <w:szCs w:val="24"/>
        </w:rPr>
        <w:t>MISCONDUCT = EQUITABLE TOLLING</w:t>
      </w:r>
    </w:p>
    <w:p w:rsidR="00A07DD2" w:rsidRDefault="00A07DD2" w:rsidP="00A07DD2">
      <w:pPr>
        <w:spacing w:after="240" w:line="360" w:lineRule="auto"/>
        <w:jc w:val="both"/>
        <w:rPr>
          <w:sz w:val="24"/>
          <w:szCs w:val="24"/>
        </w:rPr>
      </w:pPr>
      <w:r>
        <w:rPr>
          <w:sz w:val="24"/>
          <w:szCs w:val="24"/>
        </w:rPr>
        <w:tab/>
        <w:t>Although Petitioner’s conviction is decades old, the initial April 14, 1999 Talley interview – suppressed until 2023 – was discovered only due to new counsel’s diligence in combing unrelated case files. The State buried this recording for nearly 25 years.</w:t>
      </w:r>
    </w:p>
    <w:p w:rsidR="00A07DD2" w:rsidRDefault="00A07DD2" w:rsidP="00A07DD2">
      <w:pPr>
        <w:spacing w:after="240" w:line="360" w:lineRule="auto"/>
        <w:jc w:val="both"/>
        <w:rPr>
          <w:sz w:val="24"/>
          <w:szCs w:val="24"/>
        </w:rPr>
      </w:pPr>
      <w:r>
        <w:rPr>
          <w:sz w:val="24"/>
          <w:szCs w:val="24"/>
        </w:rPr>
        <w:tab/>
        <w:t xml:space="preserve">Under </w:t>
      </w:r>
      <w:r w:rsidRPr="00A07DD2">
        <w:rPr>
          <w:i/>
          <w:sz w:val="24"/>
          <w:szCs w:val="24"/>
        </w:rPr>
        <w:t>Holland v. Florida</w:t>
      </w:r>
      <w:r>
        <w:rPr>
          <w:sz w:val="24"/>
          <w:szCs w:val="24"/>
        </w:rPr>
        <w:t xml:space="preserve">, 560 U.S. 631 (2010), and </w:t>
      </w:r>
      <w:r w:rsidRPr="00A07DD2">
        <w:rPr>
          <w:i/>
          <w:sz w:val="24"/>
          <w:szCs w:val="24"/>
        </w:rPr>
        <w:t>McQuiggin v. Perkins</w:t>
      </w:r>
      <w:r>
        <w:rPr>
          <w:sz w:val="24"/>
          <w:szCs w:val="24"/>
        </w:rPr>
        <w:t>, 569 U.S. 383 (2013), Petitioner is entitled to:</w:t>
      </w:r>
    </w:p>
    <w:p w:rsidR="00A07DD2" w:rsidRDefault="00A07DD2" w:rsidP="00A07DD2">
      <w:pPr>
        <w:pStyle w:val="ListParagraph"/>
        <w:numPr>
          <w:ilvl w:val="0"/>
          <w:numId w:val="18"/>
        </w:numPr>
        <w:spacing w:line="360" w:lineRule="auto"/>
        <w:jc w:val="both"/>
        <w:rPr>
          <w:sz w:val="24"/>
          <w:szCs w:val="24"/>
        </w:rPr>
      </w:pPr>
      <w:r>
        <w:rPr>
          <w:sz w:val="24"/>
          <w:szCs w:val="24"/>
        </w:rPr>
        <w:t>Equitable tolling due to misconduct by the State;</w:t>
      </w:r>
    </w:p>
    <w:p w:rsidR="00A07DD2" w:rsidRPr="00A07DD2" w:rsidRDefault="00A07DD2" w:rsidP="00A07DD2">
      <w:pPr>
        <w:pStyle w:val="ListParagraph"/>
        <w:spacing w:line="360" w:lineRule="auto"/>
        <w:jc w:val="both"/>
        <w:rPr>
          <w:sz w:val="16"/>
          <w:szCs w:val="16"/>
        </w:rPr>
      </w:pPr>
    </w:p>
    <w:p w:rsidR="00A07DD2" w:rsidRDefault="00A07DD2" w:rsidP="00A07DD2">
      <w:pPr>
        <w:pStyle w:val="ListParagraph"/>
        <w:numPr>
          <w:ilvl w:val="0"/>
          <w:numId w:val="18"/>
        </w:numPr>
        <w:spacing w:line="360" w:lineRule="auto"/>
        <w:jc w:val="both"/>
        <w:rPr>
          <w:sz w:val="24"/>
          <w:szCs w:val="24"/>
        </w:rPr>
      </w:pPr>
      <w:r>
        <w:rPr>
          <w:sz w:val="24"/>
          <w:szCs w:val="24"/>
        </w:rPr>
        <w:t xml:space="preserve">Gateway actual innocence review under </w:t>
      </w:r>
      <w:r w:rsidRPr="00A07DD2">
        <w:rPr>
          <w:i/>
          <w:sz w:val="24"/>
          <w:szCs w:val="24"/>
        </w:rPr>
        <w:t>Schlup v. Delo</w:t>
      </w:r>
      <w:r>
        <w:rPr>
          <w:sz w:val="24"/>
          <w:szCs w:val="24"/>
        </w:rPr>
        <w:t>, 513 U.S. 298 (1995)</w:t>
      </w:r>
    </w:p>
    <w:p w:rsidR="00A07DD2" w:rsidRPr="00A07DD2" w:rsidRDefault="00A07DD2" w:rsidP="00A07DD2">
      <w:pPr>
        <w:pStyle w:val="ListParagraph"/>
        <w:rPr>
          <w:sz w:val="24"/>
          <w:szCs w:val="24"/>
        </w:rPr>
      </w:pPr>
    </w:p>
    <w:p w:rsidR="007227F0" w:rsidRDefault="00A07DD2" w:rsidP="007227F0">
      <w:pPr>
        <w:spacing w:line="360" w:lineRule="auto"/>
        <w:jc w:val="both"/>
        <w:rPr>
          <w:sz w:val="24"/>
          <w:szCs w:val="24"/>
        </w:rPr>
      </w:pPr>
      <w:r>
        <w:rPr>
          <w:sz w:val="24"/>
          <w:szCs w:val="24"/>
        </w:rPr>
        <w:t>The combination of Brady suppression, false testimony, and recantation creates a compelling case for relief – and if not remedied, would constitute a fundamental miscarriage of justice.</w:t>
      </w:r>
    </w:p>
    <w:p w:rsidR="007227F0" w:rsidRDefault="007227F0" w:rsidP="007227F0">
      <w:pPr>
        <w:spacing w:line="360" w:lineRule="auto"/>
        <w:jc w:val="both"/>
        <w:rPr>
          <w:b/>
          <w:sz w:val="24"/>
          <w:szCs w:val="24"/>
        </w:rPr>
      </w:pPr>
    </w:p>
    <w:p w:rsidR="00A07DD2" w:rsidRPr="007227F0" w:rsidRDefault="00A07DD2" w:rsidP="007227F0">
      <w:pPr>
        <w:spacing w:after="240" w:line="360" w:lineRule="auto"/>
        <w:jc w:val="center"/>
        <w:rPr>
          <w:sz w:val="24"/>
          <w:szCs w:val="24"/>
        </w:rPr>
      </w:pPr>
      <w:r>
        <w:rPr>
          <w:b/>
          <w:sz w:val="24"/>
          <w:szCs w:val="24"/>
        </w:rPr>
        <w:t>CONCLUSION</w:t>
      </w:r>
    </w:p>
    <w:p w:rsidR="00A07DD2" w:rsidRDefault="00A07DD2" w:rsidP="00242AF9">
      <w:pPr>
        <w:spacing w:after="240" w:line="360" w:lineRule="auto"/>
        <w:jc w:val="both"/>
        <w:rPr>
          <w:sz w:val="24"/>
          <w:szCs w:val="24"/>
        </w:rPr>
      </w:pPr>
      <w:r>
        <w:rPr>
          <w:sz w:val="24"/>
          <w:szCs w:val="24"/>
        </w:rPr>
        <w:tab/>
      </w:r>
      <w:r w:rsidR="00242AF9">
        <w:rPr>
          <w:sz w:val="24"/>
          <w:szCs w:val="24"/>
        </w:rPr>
        <w:t>Petitioner Kenneth Deangelo “Delo” Thomas has spent well over two decades in prison for a crime that he is innocent of – based on the false testimony of incentivized witnesses, a prosecutorial deal concealed from the jury, and exculpatory evidence buried for 24  years. This is an unconscionable travesty</w:t>
      </w:r>
      <w:r w:rsidR="007227F0">
        <w:rPr>
          <w:sz w:val="24"/>
          <w:szCs w:val="24"/>
        </w:rPr>
        <w:t xml:space="preserve"> – and we wouldn’t be here if not for the illegal and immoral machinations of the State of Tennessee.</w:t>
      </w:r>
    </w:p>
    <w:p w:rsidR="00242AF9" w:rsidRDefault="00242AF9" w:rsidP="00242AF9">
      <w:pPr>
        <w:spacing w:after="240" w:line="360" w:lineRule="auto"/>
        <w:jc w:val="both"/>
        <w:rPr>
          <w:sz w:val="24"/>
          <w:szCs w:val="24"/>
        </w:rPr>
      </w:pPr>
      <w:r>
        <w:rPr>
          <w:sz w:val="24"/>
          <w:szCs w:val="24"/>
        </w:rPr>
        <w:lastRenderedPageBreak/>
        <w:tab/>
        <w:t xml:space="preserve">This case presents a clear and repeated pattern of unconstitutional conduct by the State that directly led to </w:t>
      </w:r>
      <w:r w:rsidR="007227F0">
        <w:rPr>
          <w:sz w:val="24"/>
          <w:szCs w:val="24"/>
        </w:rPr>
        <w:t>Petitioner’s</w:t>
      </w:r>
      <w:r>
        <w:rPr>
          <w:sz w:val="24"/>
          <w:szCs w:val="24"/>
        </w:rPr>
        <w:t xml:space="preserve"> wrongful conviction. The legal violations are not procedural – they go to the heart of the trial’s fairness and violates Petitioner’s rights under the Fifth, Sixth, and Fourteenth Amendments.</w:t>
      </w:r>
    </w:p>
    <w:p w:rsidR="00242AF9" w:rsidRDefault="00242AF9" w:rsidP="004B5EC7">
      <w:pPr>
        <w:spacing w:after="240" w:line="360" w:lineRule="auto"/>
        <w:jc w:val="both"/>
        <w:rPr>
          <w:sz w:val="24"/>
          <w:szCs w:val="24"/>
        </w:rPr>
      </w:pPr>
      <w:r>
        <w:rPr>
          <w:sz w:val="24"/>
          <w:szCs w:val="24"/>
        </w:rPr>
        <w:tab/>
        <w:t>Accordingly, Petitioner respectfully requests that this Court:</w:t>
      </w:r>
    </w:p>
    <w:p w:rsidR="007227F0" w:rsidRDefault="007227F0" w:rsidP="002452F8">
      <w:pPr>
        <w:pStyle w:val="ListParagraph"/>
        <w:numPr>
          <w:ilvl w:val="0"/>
          <w:numId w:val="19"/>
        </w:numPr>
        <w:spacing w:line="480" w:lineRule="auto"/>
        <w:jc w:val="both"/>
        <w:rPr>
          <w:sz w:val="24"/>
          <w:szCs w:val="24"/>
        </w:rPr>
      </w:pPr>
      <w:r>
        <w:rPr>
          <w:sz w:val="24"/>
          <w:szCs w:val="24"/>
        </w:rPr>
        <w:t>Grant the writ and vacate the conviction and sentence;</w:t>
      </w:r>
    </w:p>
    <w:p w:rsidR="007227F0" w:rsidRDefault="007227F0" w:rsidP="002452F8">
      <w:pPr>
        <w:pStyle w:val="ListParagraph"/>
        <w:numPr>
          <w:ilvl w:val="0"/>
          <w:numId w:val="19"/>
        </w:numPr>
        <w:spacing w:line="480" w:lineRule="auto"/>
        <w:jc w:val="both"/>
        <w:rPr>
          <w:sz w:val="24"/>
          <w:szCs w:val="24"/>
        </w:rPr>
      </w:pPr>
      <w:r>
        <w:rPr>
          <w:sz w:val="24"/>
          <w:szCs w:val="24"/>
        </w:rPr>
        <w:t>Order an evidentiary hearing if necessary;</w:t>
      </w:r>
    </w:p>
    <w:p w:rsidR="007227F0" w:rsidRDefault="007227F0" w:rsidP="002452F8">
      <w:pPr>
        <w:pStyle w:val="ListParagraph"/>
        <w:numPr>
          <w:ilvl w:val="0"/>
          <w:numId w:val="19"/>
        </w:numPr>
        <w:spacing w:line="480" w:lineRule="auto"/>
        <w:jc w:val="both"/>
        <w:rPr>
          <w:sz w:val="24"/>
          <w:szCs w:val="24"/>
        </w:rPr>
      </w:pPr>
      <w:r>
        <w:rPr>
          <w:sz w:val="24"/>
          <w:szCs w:val="24"/>
        </w:rPr>
        <w:t>Release Petitioner on bond pending final resolution;</w:t>
      </w:r>
    </w:p>
    <w:p w:rsidR="007227F0" w:rsidRPr="007227F0" w:rsidRDefault="007227F0" w:rsidP="002452F8">
      <w:pPr>
        <w:pStyle w:val="ListParagraph"/>
        <w:numPr>
          <w:ilvl w:val="0"/>
          <w:numId w:val="19"/>
        </w:numPr>
        <w:spacing w:line="480" w:lineRule="auto"/>
        <w:jc w:val="both"/>
        <w:rPr>
          <w:sz w:val="24"/>
          <w:szCs w:val="24"/>
        </w:rPr>
      </w:pPr>
      <w:r>
        <w:rPr>
          <w:sz w:val="24"/>
          <w:szCs w:val="24"/>
        </w:rPr>
        <w:t>Grant any other relief the Court deems just and proper.</w:t>
      </w:r>
    </w:p>
    <w:p w:rsidR="00A07DD2" w:rsidRDefault="002B155B" w:rsidP="00A07DD2">
      <w:pPr>
        <w:pStyle w:val="ListParagraph"/>
        <w:spacing w:line="360" w:lineRule="auto"/>
        <w:ind w:left="1080"/>
        <w:jc w:val="center"/>
        <w:rPr>
          <w:b/>
          <w:sz w:val="24"/>
          <w:szCs w:val="24"/>
        </w:rPr>
      </w:pPr>
      <w:r>
        <w:rPr>
          <w:b/>
          <w:sz w:val="24"/>
          <w:szCs w:val="24"/>
        </w:rPr>
        <w:tab/>
      </w:r>
      <w:r>
        <w:rPr>
          <w:b/>
          <w:sz w:val="24"/>
          <w:szCs w:val="24"/>
        </w:rPr>
        <w:tab/>
      </w:r>
    </w:p>
    <w:p w:rsidR="002B155B" w:rsidRDefault="002B155B" w:rsidP="002B155B">
      <w:pPr>
        <w:spacing w:line="36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Respectfully submitted,</w:t>
      </w:r>
    </w:p>
    <w:p w:rsidR="002B155B" w:rsidRDefault="002B155B" w:rsidP="002B155B">
      <w:pPr>
        <w:spacing w:line="360" w:lineRule="auto"/>
        <w:jc w:val="both"/>
        <w:rPr>
          <w:sz w:val="24"/>
          <w:szCs w:val="24"/>
        </w:rPr>
      </w:pPr>
    </w:p>
    <w:p w:rsidR="002B155B" w:rsidRDefault="002B155B" w:rsidP="002B155B">
      <w:pPr>
        <w:pStyle w:val="ListParagraph"/>
        <w:spacing w:line="276" w:lineRule="auto"/>
        <w:ind w:left="0"/>
        <w:rPr>
          <w:sz w:val="24"/>
          <w:szCs w:val="24"/>
        </w:rPr>
      </w:pPr>
      <w:r>
        <w:rPr>
          <w:b/>
          <w:sz w:val="24"/>
          <w:szCs w:val="24"/>
        </w:rPr>
        <w:tab/>
      </w:r>
      <w:r>
        <w:rPr>
          <w:b/>
          <w:sz w:val="24"/>
          <w:szCs w:val="24"/>
        </w:rPr>
        <w:tab/>
      </w:r>
      <w:r>
        <w:rPr>
          <w:sz w:val="24"/>
          <w:szCs w:val="24"/>
        </w:rPr>
        <w:tab/>
      </w:r>
      <w:r>
        <w:rPr>
          <w:sz w:val="24"/>
          <w:szCs w:val="24"/>
        </w:rPr>
        <w:tab/>
      </w:r>
      <w:r>
        <w:rPr>
          <w:sz w:val="24"/>
          <w:szCs w:val="24"/>
        </w:rPr>
        <w:tab/>
      </w:r>
      <w:r>
        <w:rPr>
          <w:sz w:val="24"/>
          <w:szCs w:val="24"/>
        </w:rPr>
        <w:tab/>
      </w:r>
      <w:r>
        <w:rPr>
          <w:sz w:val="24"/>
          <w:szCs w:val="24"/>
        </w:rPr>
        <w:tab/>
        <w:t>Kenneth D. Thomas # 262443</w:t>
      </w:r>
    </w:p>
    <w:p w:rsidR="002B155B" w:rsidRDefault="002B155B" w:rsidP="002B155B">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Riverbend Maximum Security Institution</w:t>
      </w:r>
    </w:p>
    <w:p w:rsidR="002B155B" w:rsidRDefault="002B155B" w:rsidP="002B155B">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7475 Cockrill Bend Blvd.</w:t>
      </w:r>
    </w:p>
    <w:p w:rsidR="00865C52" w:rsidRDefault="002B155B" w:rsidP="00865C52">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Nashville, Tennessee 37209</w:t>
      </w:r>
    </w:p>
    <w:p w:rsidR="00865C52" w:rsidRDefault="00865C52" w:rsidP="00865C52">
      <w:pPr>
        <w:pStyle w:val="ListParagraph"/>
        <w:spacing w:line="276" w:lineRule="auto"/>
        <w:ind w:left="0"/>
        <w:rPr>
          <w:sz w:val="24"/>
          <w:szCs w:val="24"/>
        </w:rPr>
      </w:pPr>
    </w:p>
    <w:p w:rsidR="00865C52" w:rsidRDefault="00865C52" w:rsidP="00865C52">
      <w:pPr>
        <w:pStyle w:val="ListParagraph"/>
        <w:spacing w:line="276" w:lineRule="auto"/>
        <w:ind w:left="0"/>
        <w:rPr>
          <w:sz w:val="24"/>
          <w:szCs w:val="24"/>
        </w:rPr>
      </w:pPr>
    </w:p>
    <w:p w:rsidR="00865C52" w:rsidRDefault="00865C52" w:rsidP="00865C52">
      <w:pPr>
        <w:pStyle w:val="ListParagraph"/>
        <w:spacing w:line="276" w:lineRule="auto"/>
        <w:ind w:left="0"/>
        <w:jc w:val="center"/>
        <w:rPr>
          <w:b/>
          <w:sz w:val="24"/>
          <w:szCs w:val="24"/>
        </w:rPr>
      </w:pPr>
      <w:r>
        <w:rPr>
          <w:b/>
          <w:sz w:val="24"/>
          <w:szCs w:val="24"/>
        </w:rPr>
        <w:t>CERTIFICATE OF SERVICE</w:t>
      </w:r>
    </w:p>
    <w:p w:rsidR="00865C52" w:rsidRPr="00A663E6" w:rsidRDefault="00865C52" w:rsidP="00865C52">
      <w:pPr>
        <w:pStyle w:val="ListParagraph"/>
        <w:spacing w:line="276" w:lineRule="auto"/>
        <w:ind w:left="0"/>
        <w:jc w:val="center"/>
        <w:rPr>
          <w:b/>
          <w:sz w:val="16"/>
          <w:szCs w:val="16"/>
        </w:rPr>
      </w:pPr>
    </w:p>
    <w:p w:rsidR="00865C52" w:rsidRDefault="00865C52" w:rsidP="00865C52">
      <w:pPr>
        <w:pStyle w:val="ListParagraph"/>
        <w:spacing w:line="360" w:lineRule="auto"/>
        <w:ind w:left="0"/>
        <w:jc w:val="both"/>
        <w:rPr>
          <w:sz w:val="24"/>
          <w:szCs w:val="24"/>
        </w:rPr>
      </w:pPr>
      <w:r>
        <w:rPr>
          <w:sz w:val="24"/>
          <w:szCs w:val="24"/>
        </w:rPr>
        <w:tab/>
        <w:t>I , the undersigned, certify that on the 21</w:t>
      </w:r>
      <w:r w:rsidRPr="002B2808">
        <w:rPr>
          <w:sz w:val="24"/>
          <w:szCs w:val="24"/>
          <w:vertAlign w:val="superscript"/>
        </w:rPr>
        <w:t>st</w:t>
      </w:r>
      <w:r>
        <w:rPr>
          <w:sz w:val="24"/>
          <w:szCs w:val="24"/>
        </w:rPr>
        <w:t xml:space="preserve"> day of July 2025, a true and exact copy of the forgoing</w:t>
      </w:r>
      <w:r w:rsidRPr="002B2808">
        <w:t xml:space="preserve"> </w:t>
      </w:r>
      <w:r>
        <w:rPr>
          <w:sz w:val="24"/>
          <w:szCs w:val="24"/>
        </w:rPr>
        <w:t xml:space="preserve">memorandum of law in support of </w:t>
      </w:r>
      <w:r w:rsidRPr="008A634A">
        <w:rPr>
          <w:sz w:val="24"/>
          <w:szCs w:val="24"/>
        </w:rPr>
        <w:t>emergency petition for a writ of habeas corpus pursuant to 28 U.S.C. § 2254 with request for immediate release on bond</w:t>
      </w:r>
      <w:r>
        <w:rPr>
          <w:sz w:val="24"/>
          <w:szCs w:val="24"/>
        </w:rPr>
        <w:t xml:space="preserve"> has been mailed, postage prepaid, to State of Tennessee, Office of the Attorney General, P.O. Box 20207, Nashville, Tennessee 37202.</w:t>
      </w:r>
    </w:p>
    <w:p w:rsidR="00865C52" w:rsidRDefault="00865C52" w:rsidP="00865C52">
      <w:pPr>
        <w:pStyle w:val="ListParagraph"/>
        <w:spacing w:line="276" w:lineRule="auto"/>
        <w:ind w:left="0"/>
        <w:jc w:val="both"/>
        <w:rPr>
          <w:sz w:val="24"/>
          <w:szCs w:val="24"/>
        </w:rPr>
      </w:pPr>
    </w:p>
    <w:p w:rsidR="00865C52" w:rsidRDefault="00865C52" w:rsidP="00865C52">
      <w:pPr>
        <w:pStyle w:val="ListParagraph"/>
        <w:spacing w:after="240" w:line="480"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w:t>
      </w:r>
    </w:p>
    <w:p w:rsidR="00865C52" w:rsidRPr="002B2808" w:rsidRDefault="00865C52" w:rsidP="00865C52">
      <w:pPr>
        <w:pStyle w:val="ListParagraph"/>
        <w:spacing w:line="276"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Kenneth Deangelo Thomas</w:t>
      </w:r>
    </w:p>
    <w:p w:rsidR="00865C52" w:rsidRPr="00A07DD2" w:rsidRDefault="00865C52" w:rsidP="00865C52">
      <w:pPr>
        <w:pStyle w:val="ListParagraph"/>
        <w:spacing w:line="276" w:lineRule="auto"/>
        <w:ind w:left="0"/>
        <w:rPr>
          <w:sz w:val="24"/>
          <w:szCs w:val="24"/>
        </w:rPr>
      </w:pPr>
    </w:p>
    <w:sectPr w:rsidR="00865C52" w:rsidRPr="00A07DD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0C6D" w:rsidRDefault="00A70C6D" w:rsidP="00130E6F">
      <w:r>
        <w:separator/>
      </w:r>
    </w:p>
  </w:endnote>
  <w:endnote w:type="continuationSeparator" w:id="0">
    <w:p w:rsidR="00A70C6D" w:rsidRDefault="00A70C6D" w:rsidP="0013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5750278"/>
      <w:docPartObj>
        <w:docPartGallery w:val="Page Numbers (Bottom of Page)"/>
        <w:docPartUnique/>
      </w:docPartObj>
    </w:sdtPr>
    <w:sdtEndPr>
      <w:rPr>
        <w:noProof/>
      </w:rPr>
    </w:sdtEndPr>
    <w:sdtContent>
      <w:p w:rsidR="00DE15E2" w:rsidRDefault="00DE15E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DE15E2" w:rsidRDefault="00DE1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0C6D" w:rsidRDefault="00A70C6D" w:rsidP="00130E6F">
      <w:r>
        <w:separator/>
      </w:r>
    </w:p>
  </w:footnote>
  <w:footnote w:type="continuationSeparator" w:id="0">
    <w:p w:rsidR="00A70C6D" w:rsidRDefault="00A70C6D" w:rsidP="00130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173B"/>
    <w:multiLevelType w:val="hybridMultilevel"/>
    <w:tmpl w:val="4FDAE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95F78"/>
    <w:multiLevelType w:val="hybridMultilevel"/>
    <w:tmpl w:val="4A503310"/>
    <w:lvl w:ilvl="0" w:tplc="762296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D4B42"/>
    <w:multiLevelType w:val="hybridMultilevel"/>
    <w:tmpl w:val="70944324"/>
    <w:lvl w:ilvl="0" w:tplc="44A286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F87D58"/>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237954"/>
    <w:multiLevelType w:val="hybridMultilevel"/>
    <w:tmpl w:val="BAC82ABC"/>
    <w:lvl w:ilvl="0" w:tplc="99AAA6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AF2F69"/>
    <w:multiLevelType w:val="hybridMultilevel"/>
    <w:tmpl w:val="165E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5B2F90"/>
    <w:multiLevelType w:val="hybridMultilevel"/>
    <w:tmpl w:val="DBB42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23354"/>
    <w:multiLevelType w:val="hybridMultilevel"/>
    <w:tmpl w:val="A9280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A27F2"/>
    <w:multiLevelType w:val="hybridMultilevel"/>
    <w:tmpl w:val="2F96D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D6591E"/>
    <w:multiLevelType w:val="hybridMultilevel"/>
    <w:tmpl w:val="4808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0C5A2B"/>
    <w:multiLevelType w:val="hybridMultilevel"/>
    <w:tmpl w:val="EE4A1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6E25D7"/>
    <w:multiLevelType w:val="hybridMultilevel"/>
    <w:tmpl w:val="A4E6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5C3ADF"/>
    <w:multiLevelType w:val="hybridMultilevel"/>
    <w:tmpl w:val="65F0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8D7DA6"/>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2A186C"/>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D22E65"/>
    <w:multiLevelType w:val="hybridMultilevel"/>
    <w:tmpl w:val="096E2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277B68"/>
    <w:multiLevelType w:val="hybridMultilevel"/>
    <w:tmpl w:val="4B708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194DD2"/>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500FFE"/>
    <w:multiLevelType w:val="hybridMultilevel"/>
    <w:tmpl w:val="4856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16"/>
  </w:num>
  <w:num w:numId="5">
    <w:abstractNumId w:val="2"/>
  </w:num>
  <w:num w:numId="6">
    <w:abstractNumId w:val="3"/>
  </w:num>
  <w:num w:numId="7">
    <w:abstractNumId w:val="13"/>
  </w:num>
  <w:num w:numId="8">
    <w:abstractNumId w:val="17"/>
  </w:num>
  <w:num w:numId="9">
    <w:abstractNumId w:val="14"/>
  </w:num>
  <w:num w:numId="10">
    <w:abstractNumId w:val="0"/>
  </w:num>
  <w:num w:numId="11">
    <w:abstractNumId w:val="9"/>
  </w:num>
  <w:num w:numId="12">
    <w:abstractNumId w:val="4"/>
  </w:num>
  <w:num w:numId="13">
    <w:abstractNumId w:val="15"/>
  </w:num>
  <w:num w:numId="14">
    <w:abstractNumId w:val="11"/>
  </w:num>
  <w:num w:numId="15">
    <w:abstractNumId w:val="7"/>
  </w:num>
  <w:num w:numId="16">
    <w:abstractNumId w:val="18"/>
  </w:num>
  <w:num w:numId="17">
    <w:abstractNumId w:val="12"/>
  </w:num>
  <w:num w:numId="18">
    <w:abstractNumId w:val="6"/>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E6F"/>
    <w:rsid w:val="000038AE"/>
    <w:rsid w:val="000135A2"/>
    <w:rsid w:val="0005758E"/>
    <w:rsid w:val="00083881"/>
    <w:rsid w:val="000F2E6C"/>
    <w:rsid w:val="001063C7"/>
    <w:rsid w:val="001254C1"/>
    <w:rsid w:val="00130E6F"/>
    <w:rsid w:val="0013562B"/>
    <w:rsid w:val="00242AF9"/>
    <w:rsid w:val="002452F8"/>
    <w:rsid w:val="002B155B"/>
    <w:rsid w:val="002E5310"/>
    <w:rsid w:val="003041B1"/>
    <w:rsid w:val="00313EB9"/>
    <w:rsid w:val="004868D3"/>
    <w:rsid w:val="004B5EC7"/>
    <w:rsid w:val="004D4BE9"/>
    <w:rsid w:val="004E58A3"/>
    <w:rsid w:val="004E7058"/>
    <w:rsid w:val="00513A6A"/>
    <w:rsid w:val="00530DC5"/>
    <w:rsid w:val="00533B4A"/>
    <w:rsid w:val="0061617D"/>
    <w:rsid w:val="006C4B77"/>
    <w:rsid w:val="006F2387"/>
    <w:rsid w:val="00720E95"/>
    <w:rsid w:val="007227F0"/>
    <w:rsid w:val="00732ADC"/>
    <w:rsid w:val="007D49E5"/>
    <w:rsid w:val="00865C52"/>
    <w:rsid w:val="0087083D"/>
    <w:rsid w:val="008740B3"/>
    <w:rsid w:val="00881767"/>
    <w:rsid w:val="008C4206"/>
    <w:rsid w:val="00920123"/>
    <w:rsid w:val="009223E4"/>
    <w:rsid w:val="00997608"/>
    <w:rsid w:val="00A07DD2"/>
    <w:rsid w:val="00A61585"/>
    <w:rsid w:val="00A62EBB"/>
    <w:rsid w:val="00A70C6D"/>
    <w:rsid w:val="00A9297E"/>
    <w:rsid w:val="00AB3D85"/>
    <w:rsid w:val="00AC0435"/>
    <w:rsid w:val="00AF1250"/>
    <w:rsid w:val="00B216D1"/>
    <w:rsid w:val="00B53E1D"/>
    <w:rsid w:val="00B5785A"/>
    <w:rsid w:val="00BD6C12"/>
    <w:rsid w:val="00C37112"/>
    <w:rsid w:val="00CF51D2"/>
    <w:rsid w:val="00D00A28"/>
    <w:rsid w:val="00D0199E"/>
    <w:rsid w:val="00D27112"/>
    <w:rsid w:val="00D73A7F"/>
    <w:rsid w:val="00D851BE"/>
    <w:rsid w:val="00D96D62"/>
    <w:rsid w:val="00DA1979"/>
    <w:rsid w:val="00DA2B4C"/>
    <w:rsid w:val="00DE15E2"/>
    <w:rsid w:val="00E14657"/>
    <w:rsid w:val="00E845C6"/>
    <w:rsid w:val="00EE0347"/>
    <w:rsid w:val="00F04769"/>
    <w:rsid w:val="00F84AED"/>
    <w:rsid w:val="00F97557"/>
    <w:rsid w:val="00FC7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31AAA7-057F-4D05-BE6C-C70A874A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1979"/>
  </w:style>
  <w:style w:type="paragraph" w:styleId="Heading1">
    <w:name w:val="heading 1"/>
    <w:basedOn w:val="Normal"/>
    <w:next w:val="Normal"/>
    <w:link w:val="Heading1Char"/>
    <w:qFormat/>
    <w:rsid w:val="00DA1979"/>
    <w:pPr>
      <w:keepNext/>
      <w:jc w:val="center"/>
      <w:outlineLvl w:val="0"/>
    </w:pPr>
    <w:rPr>
      <w:b/>
      <w:bCs/>
      <w:sz w:val="26"/>
      <w:u w:val="single"/>
    </w:rPr>
  </w:style>
  <w:style w:type="paragraph" w:styleId="Heading2">
    <w:name w:val="heading 2"/>
    <w:basedOn w:val="Normal"/>
    <w:next w:val="Normal"/>
    <w:link w:val="Heading2Char"/>
    <w:qFormat/>
    <w:rsid w:val="00DA1979"/>
    <w:pPr>
      <w:keepNext/>
      <w:ind w:left="3600"/>
      <w:outlineLvl w:val="1"/>
    </w:pPr>
    <w:rPr>
      <w:sz w:val="24"/>
    </w:rPr>
  </w:style>
  <w:style w:type="paragraph" w:styleId="Heading3">
    <w:name w:val="heading 3"/>
    <w:basedOn w:val="Normal"/>
    <w:next w:val="Normal"/>
    <w:link w:val="Heading3Char"/>
    <w:qFormat/>
    <w:rsid w:val="00DA1979"/>
    <w:pPr>
      <w:keepNext/>
      <w:ind w:firstLine="720"/>
      <w:outlineLvl w:val="2"/>
    </w:pPr>
    <w:rPr>
      <w:rFonts w:ascii="Times" w:hAnsi="Times"/>
      <w:sz w:val="24"/>
    </w:rPr>
  </w:style>
  <w:style w:type="paragraph" w:styleId="Heading4">
    <w:name w:val="heading 4"/>
    <w:basedOn w:val="Normal"/>
    <w:next w:val="Normal"/>
    <w:link w:val="Heading4Char"/>
    <w:qFormat/>
    <w:rsid w:val="00DA1979"/>
    <w:pPr>
      <w:keepNext/>
      <w:outlineLvl w:val="3"/>
    </w:pPr>
    <w:rPr>
      <w:rFonts w:ascii="Times" w:hAnsi="Times"/>
      <w:sz w:val="24"/>
    </w:rPr>
  </w:style>
  <w:style w:type="paragraph" w:styleId="Heading5">
    <w:name w:val="heading 5"/>
    <w:basedOn w:val="Normal"/>
    <w:next w:val="Normal"/>
    <w:link w:val="Heading5Char"/>
    <w:qFormat/>
    <w:rsid w:val="00DA1979"/>
    <w:pPr>
      <w:keepNext/>
      <w:jc w:val="both"/>
      <w:outlineLvl w:val="4"/>
    </w:pPr>
    <w:rPr>
      <w:rFonts w:ascii="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1979"/>
    <w:rPr>
      <w:b/>
      <w:bCs/>
      <w:sz w:val="26"/>
      <w:u w:val="single"/>
    </w:rPr>
  </w:style>
  <w:style w:type="character" w:customStyle="1" w:styleId="Heading2Char">
    <w:name w:val="Heading 2 Char"/>
    <w:basedOn w:val="DefaultParagraphFont"/>
    <w:link w:val="Heading2"/>
    <w:rsid w:val="00DA1979"/>
    <w:rPr>
      <w:sz w:val="24"/>
    </w:rPr>
  </w:style>
  <w:style w:type="character" w:customStyle="1" w:styleId="Heading3Char">
    <w:name w:val="Heading 3 Char"/>
    <w:basedOn w:val="DefaultParagraphFont"/>
    <w:link w:val="Heading3"/>
    <w:rsid w:val="00DA1979"/>
    <w:rPr>
      <w:rFonts w:ascii="Times" w:hAnsi="Times"/>
      <w:sz w:val="24"/>
    </w:rPr>
  </w:style>
  <w:style w:type="character" w:customStyle="1" w:styleId="Heading4Char">
    <w:name w:val="Heading 4 Char"/>
    <w:basedOn w:val="DefaultParagraphFont"/>
    <w:link w:val="Heading4"/>
    <w:rsid w:val="00DA1979"/>
    <w:rPr>
      <w:rFonts w:ascii="Times" w:hAnsi="Times"/>
      <w:sz w:val="24"/>
    </w:rPr>
  </w:style>
  <w:style w:type="character" w:customStyle="1" w:styleId="Heading5Char">
    <w:name w:val="Heading 5 Char"/>
    <w:basedOn w:val="DefaultParagraphFont"/>
    <w:link w:val="Heading5"/>
    <w:rsid w:val="00DA1979"/>
    <w:rPr>
      <w:rFonts w:ascii="Times" w:hAnsi="Times"/>
      <w:sz w:val="24"/>
    </w:rPr>
  </w:style>
  <w:style w:type="paragraph" w:styleId="Title">
    <w:name w:val="Title"/>
    <w:basedOn w:val="Normal"/>
    <w:link w:val="TitleChar"/>
    <w:qFormat/>
    <w:rsid w:val="00DA1979"/>
    <w:pPr>
      <w:jc w:val="center"/>
    </w:pPr>
    <w:rPr>
      <w:sz w:val="26"/>
    </w:rPr>
  </w:style>
  <w:style w:type="character" w:customStyle="1" w:styleId="TitleChar">
    <w:name w:val="Title Char"/>
    <w:basedOn w:val="DefaultParagraphFont"/>
    <w:link w:val="Title"/>
    <w:rsid w:val="00DA1979"/>
    <w:rPr>
      <w:sz w:val="26"/>
    </w:rPr>
  </w:style>
  <w:style w:type="paragraph" w:styleId="Subtitle">
    <w:name w:val="Subtitle"/>
    <w:basedOn w:val="Normal"/>
    <w:link w:val="SubtitleChar"/>
    <w:qFormat/>
    <w:rsid w:val="00DA1979"/>
    <w:pPr>
      <w:jc w:val="center"/>
    </w:pPr>
    <w:rPr>
      <w:rFonts w:ascii="Times" w:hAnsi="Times"/>
      <w:sz w:val="24"/>
    </w:rPr>
  </w:style>
  <w:style w:type="character" w:customStyle="1" w:styleId="SubtitleChar">
    <w:name w:val="Subtitle Char"/>
    <w:basedOn w:val="DefaultParagraphFont"/>
    <w:link w:val="Subtitle"/>
    <w:rsid w:val="00DA1979"/>
    <w:rPr>
      <w:rFonts w:ascii="Times" w:hAnsi="Times"/>
      <w:sz w:val="24"/>
    </w:rPr>
  </w:style>
  <w:style w:type="paragraph" w:styleId="ListParagraph">
    <w:name w:val="List Paragraph"/>
    <w:basedOn w:val="Normal"/>
    <w:uiPriority w:val="34"/>
    <w:qFormat/>
    <w:rsid w:val="00130E6F"/>
    <w:pPr>
      <w:ind w:left="720"/>
      <w:contextualSpacing/>
    </w:pPr>
  </w:style>
  <w:style w:type="paragraph" w:styleId="Header">
    <w:name w:val="header"/>
    <w:basedOn w:val="Normal"/>
    <w:link w:val="HeaderChar"/>
    <w:uiPriority w:val="99"/>
    <w:unhideWhenUsed/>
    <w:rsid w:val="00130E6F"/>
    <w:pPr>
      <w:tabs>
        <w:tab w:val="center" w:pos="4680"/>
        <w:tab w:val="right" w:pos="9360"/>
      </w:tabs>
    </w:pPr>
  </w:style>
  <w:style w:type="character" w:customStyle="1" w:styleId="HeaderChar">
    <w:name w:val="Header Char"/>
    <w:basedOn w:val="DefaultParagraphFont"/>
    <w:link w:val="Header"/>
    <w:uiPriority w:val="99"/>
    <w:rsid w:val="00130E6F"/>
  </w:style>
  <w:style w:type="paragraph" w:styleId="Footer">
    <w:name w:val="footer"/>
    <w:basedOn w:val="Normal"/>
    <w:link w:val="FooterChar"/>
    <w:uiPriority w:val="99"/>
    <w:unhideWhenUsed/>
    <w:rsid w:val="00130E6F"/>
    <w:pPr>
      <w:tabs>
        <w:tab w:val="center" w:pos="4680"/>
        <w:tab w:val="right" w:pos="9360"/>
      </w:tabs>
    </w:pPr>
  </w:style>
  <w:style w:type="character" w:customStyle="1" w:styleId="FooterChar">
    <w:name w:val="Footer Char"/>
    <w:basedOn w:val="DefaultParagraphFont"/>
    <w:link w:val="Footer"/>
    <w:uiPriority w:val="99"/>
    <w:rsid w:val="00130E6F"/>
  </w:style>
  <w:style w:type="paragraph" w:styleId="FootnoteText">
    <w:name w:val="footnote text"/>
    <w:basedOn w:val="Normal"/>
    <w:link w:val="FootnoteTextChar"/>
    <w:uiPriority w:val="99"/>
    <w:semiHidden/>
    <w:unhideWhenUsed/>
    <w:rsid w:val="004E7058"/>
  </w:style>
  <w:style w:type="character" w:customStyle="1" w:styleId="FootnoteTextChar">
    <w:name w:val="Footnote Text Char"/>
    <w:basedOn w:val="DefaultParagraphFont"/>
    <w:link w:val="FootnoteText"/>
    <w:uiPriority w:val="99"/>
    <w:semiHidden/>
    <w:rsid w:val="004E7058"/>
  </w:style>
  <w:style w:type="character" w:styleId="FootnoteReference">
    <w:name w:val="footnote reference"/>
    <w:basedOn w:val="DefaultParagraphFont"/>
    <w:uiPriority w:val="99"/>
    <w:semiHidden/>
    <w:unhideWhenUsed/>
    <w:rsid w:val="004E70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Inmate</dc:creator>
  <cp:keywords/>
  <dc:description/>
  <cp:lastModifiedBy>Inmate</cp:lastModifiedBy>
  <cp:revision>2</cp:revision>
  <dcterms:created xsi:type="dcterms:W3CDTF">2025-07-25T18:57:00Z</dcterms:created>
  <dcterms:modified xsi:type="dcterms:W3CDTF">2025-07-25T18:57:00Z</dcterms:modified>
</cp:coreProperties>
</file>