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B4C" w:rsidRDefault="00130E6F" w:rsidP="00130E6F">
      <w:pPr>
        <w:spacing w:line="276" w:lineRule="auto"/>
        <w:jc w:val="center"/>
        <w:rPr>
          <w:b/>
          <w:sz w:val="24"/>
          <w:szCs w:val="24"/>
        </w:rPr>
      </w:pPr>
      <w:r>
        <w:rPr>
          <w:b/>
          <w:sz w:val="24"/>
          <w:szCs w:val="24"/>
        </w:rPr>
        <w:t>IN THE UNITED STATES DISTRICT COURT</w:t>
      </w:r>
    </w:p>
    <w:p w:rsidR="00130E6F" w:rsidRDefault="00130E6F" w:rsidP="00130E6F">
      <w:pPr>
        <w:spacing w:line="276" w:lineRule="auto"/>
        <w:jc w:val="center"/>
        <w:rPr>
          <w:b/>
          <w:sz w:val="24"/>
          <w:szCs w:val="24"/>
        </w:rPr>
      </w:pPr>
      <w:r>
        <w:rPr>
          <w:b/>
          <w:sz w:val="24"/>
          <w:szCs w:val="24"/>
        </w:rPr>
        <w:t>MIDDLE DISTRICT OF TENNESSEE</w:t>
      </w:r>
    </w:p>
    <w:p w:rsidR="00130E6F" w:rsidRDefault="00130E6F" w:rsidP="00130E6F">
      <w:pPr>
        <w:spacing w:line="276" w:lineRule="auto"/>
        <w:jc w:val="center"/>
        <w:rPr>
          <w:b/>
          <w:sz w:val="24"/>
          <w:szCs w:val="24"/>
        </w:rPr>
      </w:pPr>
      <w:r>
        <w:rPr>
          <w:b/>
          <w:sz w:val="24"/>
          <w:szCs w:val="24"/>
        </w:rPr>
        <w:t>NASHVILLE DIVISION</w:t>
      </w:r>
    </w:p>
    <w:p w:rsidR="00130E6F" w:rsidRDefault="00130E6F" w:rsidP="00130E6F">
      <w:pPr>
        <w:spacing w:line="276" w:lineRule="auto"/>
        <w:jc w:val="center"/>
        <w:rPr>
          <w:sz w:val="24"/>
          <w:szCs w:val="24"/>
        </w:rPr>
      </w:pPr>
    </w:p>
    <w:p w:rsidR="00130E6F" w:rsidRDefault="00130E6F" w:rsidP="00130E6F">
      <w:pPr>
        <w:spacing w:line="276" w:lineRule="auto"/>
        <w:rPr>
          <w:b/>
          <w:sz w:val="24"/>
          <w:szCs w:val="24"/>
        </w:rPr>
      </w:pPr>
      <w:r>
        <w:rPr>
          <w:sz w:val="24"/>
          <w:szCs w:val="24"/>
        </w:rPr>
        <w:t>KENNETH D. THOMAS,</w:t>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Petitioner.</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b/>
          <w:sz w:val="24"/>
          <w:szCs w:val="24"/>
        </w:rPr>
        <w:tab/>
      </w:r>
      <w:r>
        <w:rPr>
          <w:b/>
          <w:sz w:val="24"/>
          <w:szCs w:val="24"/>
        </w:rPr>
        <w:tab/>
      </w:r>
      <w:r>
        <w:rPr>
          <w:sz w:val="24"/>
          <w:szCs w:val="24"/>
        </w:rPr>
        <w:t>v.</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r>
        <w:rPr>
          <w:b/>
          <w:sz w:val="24"/>
          <w:szCs w:val="24"/>
        </w:rPr>
        <w:tab/>
      </w:r>
      <w:r>
        <w:rPr>
          <w:b/>
          <w:sz w:val="24"/>
          <w:szCs w:val="24"/>
        </w:rPr>
        <w:tab/>
        <w:t>NO.</w:t>
      </w:r>
      <w:r>
        <w:rPr>
          <w:b/>
          <w:sz w:val="24"/>
          <w:szCs w:val="24"/>
        </w:rPr>
        <w:tab/>
        <w:t>__________________</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sz w:val="24"/>
          <w:szCs w:val="24"/>
        </w:rPr>
        <w:t>KENNETH NELSEN, Warden</w:t>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Respondent.</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pBdr>
          <w:bottom w:val="single" w:sz="12" w:space="1" w:color="auto"/>
        </w:pBdr>
        <w:spacing w:line="276" w:lineRule="auto"/>
        <w:rPr>
          <w:b/>
          <w:sz w:val="24"/>
          <w:szCs w:val="24"/>
        </w:rPr>
      </w:pPr>
    </w:p>
    <w:p w:rsidR="00865C52" w:rsidRDefault="00865C52" w:rsidP="00130E6F">
      <w:pPr>
        <w:spacing w:line="276" w:lineRule="auto"/>
        <w:rPr>
          <w:b/>
          <w:sz w:val="24"/>
          <w:szCs w:val="24"/>
        </w:rPr>
      </w:pPr>
    </w:p>
    <w:p w:rsidR="00D96D62" w:rsidRDefault="00D437FD" w:rsidP="00130E6F">
      <w:pPr>
        <w:pBdr>
          <w:bottom w:val="single" w:sz="12" w:space="1" w:color="auto"/>
        </w:pBdr>
        <w:spacing w:line="276" w:lineRule="auto"/>
        <w:jc w:val="center"/>
        <w:rPr>
          <w:b/>
          <w:sz w:val="24"/>
          <w:szCs w:val="24"/>
        </w:rPr>
      </w:pPr>
      <w:bookmarkStart w:id="0" w:name="_Hlk203807388"/>
      <w:r>
        <w:rPr>
          <w:b/>
          <w:sz w:val="24"/>
          <w:szCs w:val="24"/>
        </w:rPr>
        <w:t>MOTION TO CORRECT A CLERICAL ERROR</w:t>
      </w:r>
      <w:r w:rsidR="00D96D62">
        <w:rPr>
          <w:b/>
          <w:sz w:val="24"/>
          <w:szCs w:val="24"/>
        </w:rPr>
        <w:t xml:space="preserve"> IN </w:t>
      </w:r>
      <w:r w:rsidR="00130E6F">
        <w:rPr>
          <w:b/>
          <w:sz w:val="24"/>
          <w:szCs w:val="24"/>
        </w:rPr>
        <w:t>EMERGENCY PETITION FOR A WRIT OF HABEAS CORPUS</w:t>
      </w:r>
      <w:r w:rsidR="006F2387">
        <w:rPr>
          <w:b/>
          <w:sz w:val="24"/>
          <w:szCs w:val="24"/>
        </w:rPr>
        <w:t xml:space="preserve"> PURSUANT TO 28 U.S.C. § 2254</w:t>
      </w:r>
    </w:p>
    <w:p w:rsidR="00865C52" w:rsidRDefault="00865C52" w:rsidP="00130E6F">
      <w:pPr>
        <w:pBdr>
          <w:bottom w:val="single" w:sz="12" w:space="1" w:color="auto"/>
        </w:pBdr>
        <w:spacing w:line="276" w:lineRule="auto"/>
        <w:jc w:val="center"/>
        <w:rPr>
          <w:b/>
          <w:sz w:val="24"/>
          <w:szCs w:val="24"/>
        </w:rPr>
      </w:pPr>
    </w:p>
    <w:p w:rsidR="00865C52" w:rsidRDefault="00865C52" w:rsidP="007227F0">
      <w:pPr>
        <w:spacing w:after="240" w:line="276" w:lineRule="auto"/>
        <w:jc w:val="center"/>
        <w:rPr>
          <w:b/>
          <w:sz w:val="24"/>
          <w:szCs w:val="24"/>
        </w:rPr>
      </w:pPr>
    </w:p>
    <w:p w:rsidR="00BD6C12" w:rsidRDefault="00D96D62" w:rsidP="00D437FD">
      <w:pPr>
        <w:spacing w:after="240" w:line="360" w:lineRule="auto"/>
        <w:jc w:val="both"/>
        <w:rPr>
          <w:sz w:val="24"/>
          <w:szCs w:val="24"/>
        </w:rPr>
      </w:pPr>
      <w:r>
        <w:rPr>
          <w:sz w:val="24"/>
          <w:szCs w:val="24"/>
        </w:rPr>
        <w:tab/>
        <w:t xml:space="preserve">Petitioner, Kenneth Deangelo “Delo” Thomas, </w:t>
      </w:r>
      <w:r w:rsidR="00D437FD">
        <w:rPr>
          <w:sz w:val="24"/>
          <w:szCs w:val="24"/>
        </w:rPr>
        <w:t xml:space="preserve">motions this Court to take notice that he made a clerical error in his emergency petition for a writ of habeas corpus filed on July 21, 2025. Specifically, Petitioner would like this Court to be aware that on </w:t>
      </w:r>
      <w:r w:rsidR="003B0F9F">
        <w:rPr>
          <w:sz w:val="24"/>
          <w:szCs w:val="24"/>
        </w:rPr>
        <w:t>page 16 in the original petition – in the footnote at # 18 – the petition to the Tennessee Supreme Court is listed in the Appendix at “M.” However, this is a misprint; the Tennessee Supreme Court petition should be noted in the Appendix at “N” – of which is attached now to this motion.</w:t>
      </w:r>
    </w:p>
    <w:p w:rsidR="00A03C5E" w:rsidRDefault="00A03C5E" w:rsidP="00D437FD">
      <w:pPr>
        <w:spacing w:after="240" w:line="360" w:lineRule="auto"/>
        <w:jc w:val="both"/>
        <w:rPr>
          <w:sz w:val="24"/>
          <w:szCs w:val="24"/>
        </w:rPr>
      </w:pPr>
      <w:r>
        <w:rPr>
          <w:sz w:val="24"/>
          <w:szCs w:val="24"/>
        </w:rPr>
        <w:tab/>
      </w:r>
      <w:r w:rsidR="009F4022">
        <w:rPr>
          <w:sz w:val="24"/>
          <w:szCs w:val="24"/>
        </w:rPr>
        <w:t xml:space="preserve">Furthermore, Petitioner asserts that his conviction and </w:t>
      </w:r>
      <w:r w:rsidR="00BA2BB6">
        <w:rPr>
          <w:sz w:val="24"/>
          <w:szCs w:val="24"/>
        </w:rPr>
        <w:t xml:space="preserve">continued </w:t>
      </w:r>
      <w:r w:rsidR="009F4022">
        <w:rPr>
          <w:sz w:val="24"/>
          <w:szCs w:val="24"/>
        </w:rPr>
        <w:t xml:space="preserve">confinement runs counter to the edicts issued by the U.S. Supreme Court in </w:t>
      </w:r>
      <w:r w:rsidR="009F4022" w:rsidRPr="00C93C52">
        <w:rPr>
          <w:i/>
          <w:sz w:val="24"/>
          <w:szCs w:val="24"/>
        </w:rPr>
        <w:t>Glossip v. Oklahoma</w:t>
      </w:r>
      <w:r w:rsidR="009F4022">
        <w:rPr>
          <w:sz w:val="24"/>
          <w:szCs w:val="24"/>
        </w:rPr>
        <w:t xml:space="preserve">, 145 S.Ct. 612 (2025). </w:t>
      </w:r>
      <w:r w:rsidR="009F4022" w:rsidRPr="00C93C52">
        <w:rPr>
          <w:i/>
          <w:sz w:val="24"/>
          <w:szCs w:val="24"/>
        </w:rPr>
        <w:t>Glossip</w:t>
      </w:r>
      <w:r w:rsidR="009F4022">
        <w:rPr>
          <w:sz w:val="24"/>
          <w:szCs w:val="24"/>
        </w:rPr>
        <w:t xml:space="preserve">, in part </w:t>
      </w:r>
      <w:r w:rsidR="00C93C52">
        <w:rPr>
          <w:sz w:val="24"/>
          <w:szCs w:val="24"/>
        </w:rPr>
        <w:t xml:space="preserve">said </w:t>
      </w:r>
      <w:r w:rsidR="009F4022">
        <w:rPr>
          <w:sz w:val="24"/>
          <w:szCs w:val="24"/>
        </w:rPr>
        <w:t xml:space="preserve">that “[t]he Due Process Clause, which prohibits the knowing use of false testimony to obtain a conviction, imposes the responsibility and duty to correct false testimony on representatives of the </w:t>
      </w:r>
      <w:r w:rsidR="009F4022" w:rsidRPr="009F4022">
        <w:rPr>
          <w:i/>
          <w:sz w:val="24"/>
          <w:szCs w:val="24"/>
        </w:rPr>
        <w:t>State</w:t>
      </w:r>
      <w:r w:rsidR="009F4022">
        <w:rPr>
          <w:sz w:val="24"/>
          <w:szCs w:val="24"/>
        </w:rPr>
        <w:t xml:space="preserve">, not on defense counsel” (emphasis added), yet seemingly, Judge Khadija Babb’s court has </w:t>
      </w:r>
      <w:r w:rsidR="00BA2BB6">
        <w:rPr>
          <w:sz w:val="24"/>
          <w:szCs w:val="24"/>
        </w:rPr>
        <w:t xml:space="preserve">wrongly </w:t>
      </w:r>
      <w:r w:rsidR="009F4022">
        <w:rPr>
          <w:sz w:val="24"/>
          <w:szCs w:val="24"/>
        </w:rPr>
        <w:t>put the onus</w:t>
      </w:r>
      <w:r w:rsidR="00BA2BB6">
        <w:rPr>
          <w:sz w:val="24"/>
          <w:szCs w:val="24"/>
        </w:rPr>
        <w:t xml:space="preserve"> </w:t>
      </w:r>
      <w:r w:rsidR="009F4022">
        <w:rPr>
          <w:sz w:val="24"/>
          <w:szCs w:val="24"/>
        </w:rPr>
        <w:t xml:space="preserve">on Petitioner </w:t>
      </w:r>
      <w:r w:rsidR="00BA2BB6">
        <w:rPr>
          <w:sz w:val="24"/>
          <w:szCs w:val="24"/>
        </w:rPr>
        <w:t xml:space="preserve">and / </w:t>
      </w:r>
      <w:r w:rsidR="009F4022">
        <w:rPr>
          <w:sz w:val="24"/>
          <w:szCs w:val="24"/>
        </w:rPr>
        <w:t xml:space="preserve">or Petitioner’s trial counsel for not being aware of the existence of the exculpatory evidence of the audio / video of Paul Talley’s initial April 14, 1999 interview that was buried in </w:t>
      </w:r>
      <w:r w:rsidR="009F4022" w:rsidRPr="009F4022">
        <w:rPr>
          <w:i/>
          <w:sz w:val="24"/>
          <w:szCs w:val="24"/>
        </w:rPr>
        <w:t>another</w:t>
      </w:r>
      <w:r w:rsidR="009F4022">
        <w:rPr>
          <w:sz w:val="24"/>
          <w:szCs w:val="24"/>
        </w:rPr>
        <w:t xml:space="preserve"> case’s file and </w:t>
      </w:r>
      <w:r w:rsidR="009F4022" w:rsidRPr="009F4022">
        <w:rPr>
          <w:i/>
          <w:sz w:val="24"/>
          <w:szCs w:val="24"/>
        </w:rPr>
        <w:t>not</w:t>
      </w:r>
      <w:r w:rsidR="009F4022">
        <w:rPr>
          <w:sz w:val="24"/>
          <w:szCs w:val="24"/>
        </w:rPr>
        <w:t xml:space="preserve"> in the case file for the crime in question. This is simply wrong and counter to all notions of fairness, justice, and the relevant caselaw. </w:t>
      </w:r>
      <w:r w:rsidR="009F4022" w:rsidRPr="00C93C52">
        <w:rPr>
          <w:i/>
          <w:sz w:val="24"/>
          <w:szCs w:val="24"/>
        </w:rPr>
        <w:t>Glossip</w:t>
      </w:r>
      <w:r w:rsidR="009F4022">
        <w:rPr>
          <w:sz w:val="24"/>
          <w:szCs w:val="24"/>
        </w:rPr>
        <w:t xml:space="preserve"> is supplied in the Appendix at O.</w:t>
      </w:r>
    </w:p>
    <w:p w:rsidR="009F4022" w:rsidRDefault="009F4022" w:rsidP="00D437FD">
      <w:pPr>
        <w:spacing w:after="240" w:line="360" w:lineRule="auto"/>
        <w:jc w:val="both"/>
        <w:rPr>
          <w:sz w:val="24"/>
          <w:szCs w:val="24"/>
        </w:rPr>
      </w:pPr>
      <w:r>
        <w:rPr>
          <w:sz w:val="24"/>
          <w:szCs w:val="24"/>
        </w:rPr>
        <w:lastRenderedPageBreak/>
        <w:tab/>
        <w:t xml:space="preserve">Lastly, Petitioner would like this Court to be aware that Fred Talley – Paul Talley’s brother and the supposed corroborator </w:t>
      </w:r>
      <w:r w:rsidR="00C93C52">
        <w:rPr>
          <w:sz w:val="24"/>
          <w:szCs w:val="24"/>
        </w:rPr>
        <w:t xml:space="preserve">of the allegation </w:t>
      </w:r>
      <w:r>
        <w:rPr>
          <w:sz w:val="24"/>
          <w:szCs w:val="24"/>
        </w:rPr>
        <w:t xml:space="preserve">that Petitioner </w:t>
      </w:r>
      <w:r w:rsidR="00C93C52">
        <w:rPr>
          <w:sz w:val="24"/>
          <w:szCs w:val="24"/>
        </w:rPr>
        <w:t xml:space="preserve">purportedly </w:t>
      </w:r>
      <w:r>
        <w:rPr>
          <w:sz w:val="24"/>
          <w:szCs w:val="24"/>
        </w:rPr>
        <w:t xml:space="preserve">had come by the Talley’s home earlier that evening the day of the </w:t>
      </w:r>
      <w:r w:rsidR="00C93C52">
        <w:rPr>
          <w:sz w:val="24"/>
          <w:szCs w:val="24"/>
        </w:rPr>
        <w:t>Superbowl</w:t>
      </w:r>
      <w:r>
        <w:rPr>
          <w:sz w:val="24"/>
          <w:szCs w:val="24"/>
        </w:rPr>
        <w:t xml:space="preserve"> – has </w:t>
      </w:r>
      <w:r w:rsidRPr="00C93C52">
        <w:rPr>
          <w:i/>
          <w:sz w:val="24"/>
          <w:szCs w:val="24"/>
        </w:rPr>
        <w:t>also</w:t>
      </w:r>
      <w:r>
        <w:rPr>
          <w:sz w:val="24"/>
          <w:szCs w:val="24"/>
        </w:rPr>
        <w:t xml:space="preserve"> recanted his trial testimony </w:t>
      </w:r>
      <w:r w:rsidRPr="00C93C52">
        <w:rPr>
          <w:i/>
          <w:sz w:val="24"/>
          <w:szCs w:val="24"/>
        </w:rPr>
        <w:t>in totality</w:t>
      </w:r>
      <w:r>
        <w:rPr>
          <w:sz w:val="24"/>
          <w:szCs w:val="24"/>
        </w:rPr>
        <w:t xml:space="preserve"> via affidavit and open court testimony on March 13, 2025</w:t>
      </w:r>
      <w:r w:rsidR="00C93C52">
        <w:rPr>
          <w:sz w:val="24"/>
          <w:szCs w:val="24"/>
        </w:rPr>
        <w:t xml:space="preserve"> attesting to the fact that he lied when he said Petitioner had come to his home that day. This is </w:t>
      </w:r>
      <w:r w:rsidR="00C93C52" w:rsidRPr="00C93C52">
        <w:rPr>
          <w:i/>
          <w:sz w:val="24"/>
          <w:szCs w:val="24"/>
        </w:rPr>
        <w:t>also</w:t>
      </w:r>
      <w:r w:rsidR="00C93C52">
        <w:rPr>
          <w:sz w:val="24"/>
          <w:szCs w:val="24"/>
        </w:rPr>
        <w:t xml:space="preserve"> newly discovered exculpatory evidence and furthermore attests to the State of Tennessee’s unsavory and corrupt machinations in falsely convicting Petitioner in that prosecutors and police seemingly knew that Fred Talley was testifying untruthfully as well.</w:t>
      </w:r>
      <w:r>
        <w:rPr>
          <w:sz w:val="24"/>
          <w:szCs w:val="24"/>
        </w:rPr>
        <w:t xml:space="preserve"> </w:t>
      </w:r>
    </w:p>
    <w:p w:rsidR="003B0F9F" w:rsidRPr="00BD6C12" w:rsidRDefault="003B0F9F" w:rsidP="00D437FD">
      <w:pPr>
        <w:spacing w:after="240" w:line="360" w:lineRule="auto"/>
        <w:jc w:val="both"/>
        <w:rPr>
          <w:sz w:val="24"/>
          <w:szCs w:val="24"/>
        </w:rPr>
      </w:pPr>
      <w:r>
        <w:rPr>
          <w:sz w:val="24"/>
          <w:szCs w:val="24"/>
        </w:rPr>
        <w:tab/>
        <w:t>Thank you.</w:t>
      </w:r>
    </w:p>
    <w:bookmarkEnd w:id="0"/>
    <w:p w:rsidR="00A07DD2" w:rsidRDefault="002B155B" w:rsidP="00A07DD2">
      <w:pPr>
        <w:pStyle w:val="ListParagraph"/>
        <w:spacing w:line="360" w:lineRule="auto"/>
        <w:ind w:left="1080"/>
        <w:jc w:val="center"/>
        <w:rPr>
          <w:b/>
          <w:sz w:val="24"/>
          <w:szCs w:val="24"/>
        </w:rPr>
      </w:pPr>
      <w:r>
        <w:rPr>
          <w:b/>
          <w:sz w:val="24"/>
          <w:szCs w:val="24"/>
        </w:rPr>
        <w:tab/>
      </w:r>
    </w:p>
    <w:p w:rsidR="002B155B" w:rsidRDefault="002B155B" w:rsidP="002B155B">
      <w:pPr>
        <w:spacing w:line="36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Respectfully submitted,</w:t>
      </w:r>
    </w:p>
    <w:p w:rsidR="002B155B" w:rsidRDefault="002B155B" w:rsidP="002B155B">
      <w:pPr>
        <w:spacing w:line="360" w:lineRule="auto"/>
        <w:jc w:val="both"/>
        <w:rPr>
          <w:sz w:val="24"/>
          <w:szCs w:val="24"/>
        </w:rPr>
      </w:pPr>
    </w:p>
    <w:p w:rsidR="00BA2BB6" w:rsidRDefault="00BA2BB6" w:rsidP="002B155B">
      <w:pPr>
        <w:spacing w:line="360" w:lineRule="auto"/>
        <w:jc w:val="both"/>
        <w:rPr>
          <w:sz w:val="24"/>
          <w:szCs w:val="24"/>
        </w:rPr>
      </w:pPr>
    </w:p>
    <w:p w:rsidR="002B155B" w:rsidRDefault="002B155B" w:rsidP="002B155B">
      <w:pPr>
        <w:pStyle w:val="ListParagraph"/>
        <w:spacing w:line="276" w:lineRule="auto"/>
        <w:ind w:left="0"/>
        <w:rPr>
          <w:sz w:val="24"/>
          <w:szCs w:val="24"/>
        </w:rPr>
      </w:pPr>
      <w:r>
        <w:rPr>
          <w:b/>
          <w:sz w:val="24"/>
          <w:szCs w:val="24"/>
        </w:rPr>
        <w:tab/>
      </w:r>
      <w:r>
        <w:rPr>
          <w:b/>
          <w:sz w:val="24"/>
          <w:szCs w:val="24"/>
        </w:rPr>
        <w:tab/>
      </w:r>
      <w:r>
        <w:rPr>
          <w:sz w:val="24"/>
          <w:szCs w:val="24"/>
        </w:rPr>
        <w:tab/>
      </w:r>
      <w:r>
        <w:rPr>
          <w:sz w:val="24"/>
          <w:szCs w:val="24"/>
        </w:rPr>
        <w:tab/>
      </w:r>
      <w:r>
        <w:rPr>
          <w:sz w:val="24"/>
          <w:szCs w:val="24"/>
        </w:rPr>
        <w:tab/>
      </w:r>
      <w:r>
        <w:rPr>
          <w:sz w:val="24"/>
          <w:szCs w:val="24"/>
        </w:rPr>
        <w:tab/>
      </w:r>
      <w:r>
        <w:rPr>
          <w:sz w:val="24"/>
          <w:szCs w:val="24"/>
        </w:rPr>
        <w:tab/>
        <w:t>Kenneth D. Thomas # 262443</w:t>
      </w:r>
    </w:p>
    <w:p w:rsidR="002B155B" w:rsidRDefault="002B155B" w:rsidP="002B155B">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Riverbend Maximum Security Institution</w:t>
      </w:r>
    </w:p>
    <w:p w:rsidR="002B155B" w:rsidRDefault="002B155B" w:rsidP="002B155B">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7475 Cockrill Bend Blvd.</w:t>
      </w:r>
    </w:p>
    <w:p w:rsidR="00865C52" w:rsidRDefault="002B155B" w:rsidP="00865C52">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Nashville, Tennessee 37209</w:t>
      </w:r>
    </w:p>
    <w:p w:rsidR="00C93C52" w:rsidRDefault="00C93C52" w:rsidP="00865C52">
      <w:pPr>
        <w:pStyle w:val="ListParagraph"/>
        <w:spacing w:line="276" w:lineRule="auto"/>
        <w:ind w:left="0"/>
        <w:rPr>
          <w:sz w:val="24"/>
          <w:szCs w:val="24"/>
        </w:rPr>
      </w:pPr>
    </w:p>
    <w:p w:rsidR="00C93C52" w:rsidRDefault="00C93C52" w:rsidP="00865C52">
      <w:pPr>
        <w:pStyle w:val="ListParagraph"/>
        <w:spacing w:line="276" w:lineRule="auto"/>
        <w:ind w:left="0"/>
        <w:rPr>
          <w:sz w:val="24"/>
          <w:szCs w:val="24"/>
        </w:rPr>
      </w:pPr>
    </w:p>
    <w:p w:rsidR="00BA2BB6" w:rsidRDefault="00BA2BB6" w:rsidP="00865C52">
      <w:pPr>
        <w:pStyle w:val="ListParagraph"/>
        <w:spacing w:line="276" w:lineRule="auto"/>
        <w:ind w:left="0"/>
        <w:rPr>
          <w:sz w:val="24"/>
          <w:szCs w:val="24"/>
        </w:rPr>
      </w:pPr>
      <w:bookmarkStart w:id="1" w:name="_GoBack"/>
      <w:bookmarkEnd w:id="1"/>
    </w:p>
    <w:p w:rsidR="00865C52" w:rsidRDefault="00865C52" w:rsidP="00865C52">
      <w:pPr>
        <w:pStyle w:val="ListParagraph"/>
        <w:spacing w:line="276" w:lineRule="auto"/>
        <w:ind w:left="0"/>
        <w:rPr>
          <w:sz w:val="24"/>
          <w:szCs w:val="24"/>
        </w:rPr>
      </w:pPr>
    </w:p>
    <w:p w:rsidR="00865C52" w:rsidRDefault="00865C52" w:rsidP="00865C52">
      <w:pPr>
        <w:pStyle w:val="ListParagraph"/>
        <w:spacing w:line="276" w:lineRule="auto"/>
        <w:ind w:left="0"/>
        <w:jc w:val="center"/>
        <w:rPr>
          <w:b/>
          <w:sz w:val="24"/>
          <w:szCs w:val="24"/>
        </w:rPr>
      </w:pPr>
      <w:r>
        <w:rPr>
          <w:b/>
          <w:sz w:val="24"/>
          <w:szCs w:val="24"/>
        </w:rPr>
        <w:t>CERTIFICATE OF SERVICE</w:t>
      </w:r>
    </w:p>
    <w:p w:rsidR="00865C52" w:rsidRPr="00A663E6" w:rsidRDefault="00865C52" w:rsidP="00865C52">
      <w:pPr>
        <w:pStyle w:val="ListParagraph"/>
        <w:spacing w:line="276" w:lineRule="auto"/>
        <w:ind w:left="0"/>
        <w:jc w:val="center"/>
        <w:rPr>
          <w:b/>
          <w:sz w:val="16"/>
          <w:szCs w:val="16"/>
        </w:rPr>
      </w:pPr>
    </w:p>
    <w:p w:rsidR="00865C52" w:rsidRDefault="00865C52" w:rsidP="00865C52">
      <w:pPr>
        <w:pStyle w:val="ListParagraph"/>
        <w:spacing w:line="360" w:lineRule="auto"/>
        <w:ind w:left="0"/>
        <w:jc w:val="both"/>
        <w:rPr>
          <w:sz w:val="24"/>
          <w:szCs w:val="24"/>
        </w:rPr>
      </w:pPr>
      <w:r>
        <w:rPr>
          <w:sz w:val="24"/>
          <w:szCs w:val="24"/>
        </w:rPr>
        <w:tab/>
        <w:t>I, the undersigned, certify that on the 2</w:t>
      </w:r>
      <w:r w:rsidR="003B0F9F">
        <w:rPr>
          <w:sz w:val="24"/>
          <w:szCs w:val="24"/>
        </w:rPr>
        <w:t>8</w:t>
      </w:r>
      <w:r w:rsidR="003B0F9F" w:rsidRPr="003B0F9F">
        <w:rPr>
          <w:sz w:val="24"/>
          <w:szCs w:val="24"/>
          <w:vertAlign w:val="superscript"/>
        </w:rPr>
        <w:t>th</w:t>
      </w:r>
      <w:r w:rsidR="003B0F9F">
        <w:rPr>
          <w:sz w:val="24"/>
          <w:szCs w:val="24"/>
        </w:rPr>
        <w:t xml:space="preserve"> </w:t>
      </w:r>
      <w:r>
        <w:rPr>
          <w:sz w:val="24"/>
          <w:szCs w:val="24"/>
        </w:rPr>
        <w:t>day of July 2025, a true and exact copy of the forgoing</w:t>
      </w:r>
      <w:r w:rsidRPr="002B2808">
        <w:t xml:space="preserve"> </w:t>
      </w:r>
      <w:r>
        <w:rPr>
          <w:sz w:val="24"/>
          <w:szCs w:val="24"/>
        </w:rPr>
        <w:t>m</w:t>
      </w:r>
      <w:r w:rsidR="00C1177E">
        <w:rPr>
          <w:sz w:val="24"/>
          <w:szCs w:val="24"/>
        </w:rPr>
        <w:t>otion to correct a clerical error in</w:t>
      </w:r>
      <w:r w:rsidR="00E53C62">
        <w:rPr>
          <w:sz w:val="24"/>
          <w:szCs w:val="24"/>
        </w:rPr>
        <w:t xml:space="preserve"> </w:t>
      </w:r>
      <w:r w:rsidRPr="008A634A">
        <w:rPr>
          <w:sz w:val="24"/>
          <w:szCs w:val="24"/>
        </w:rPr>
        <w:t xml:space="preserve">emergency petition for a writ of habeas corpus pursuant to 28 U.S.C. § 2254 </w:t>
      </w:r>
      <w:r>
        <w:rPr>
          <w:sz w:val="24"/>
          <w:szCs w:val="24"/>
        </w:rPr>
        <w:t>has been mailed, postage prepaid, to State of Tennessee, Office of the Attorney General, P.O. Box 20207, Nashville, Tennessee 37202.</w:t>
      </w:r>
    </w:p>
    <w:p w:rsidR="00865C52" w:rsidRDefault="00865C52" w:rsidP="00865C52">
      <w:pPr>
        <w:pStyle w:val="ListParagraph"/>
        <w:spacing w:line="276" w:lineRule="auto"/>
        <w:ind w:left="0"/>
        <w:jc w:val="both"/>
        <w:rPr>
          <w:sz w:val="24"/>
          <w:szCs w:val="24"/>
        </w:rPr>
      </w:pPr>
    </w:p>
    <w:p w:rsidR="00865C52" w:rsidRDefault="00865C52" w:rsidP="00865C52">
      <w:pPr>
        <w:pStyle w:val="ListParagraph"/>
        <w:spacing w:after="240" w:line="480"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w:t>
      </w:r>
    </w:p>
    <w:p w:rsidR="00865C52" w:rsidRPr="002B2808" w:rsidRDefault="00865C52" w:rsidP="00865C52">
      <w:pPr>
        <w:pStyle w:val="ListParagraph"/>
        <w:spacing w:line="276"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Deangelo Thomas</w:t>
      </w:r>
    </w:p>
    <w:p w:rsidR="00865C52" w:rsidRDefault="00865C52" w:rsidP="00865C52">
      <w:pPr>
        <w:pStyle w:val="ListParagraph"/>
        <w:spacing w:line="276" w:lineRule="auto"/>
        <w:ind w:left="0"/>
        <w:rPr>
          <w:sz w:val="24"/>
          <w:szCs w:val="24"/>
        </w:rPr>
      </w:pPr>
    </w:p>
    <w:p w:rsidR="003B0F9F" w:rsidRDefault="003B0F9F" w:rsidP="00865C52">
      <w:pPr>
        <w:pStyle w:val="ListParagraph"/>
        <w:spacing w:line="276" w:lineRule="auto"/>
        <w:ind w:left="0"/>
        <w:rPr>
          <w:sz w:val="24"/>
          <w:szCs w:val="24"/>
        </w:rPr>
      </w:pPr>
    </w:p>
    <w:p w:rsidR="003B0F9F" w:rsidRDefault="003B0F9F" w:rsidP="003B0F9F">
      <w:pPr>
        <w:jc w:val="center"/>
        <w:rPr>
          <w:rFonts w:ascii="Arial Black" w:hAnsi="Arial Black"/>
          <w:sz w:val="144"/>
          <w:szCs w:val="144"/>
        </w:rPr>
      </w:pPr>
    </w:p>
    <w:p w:rsidR="003B0F9F" w:rsidRDefault="003B0F9F" w:rsidP="003B0F9F">
      <w:pPr>
        <w:jc w:val="center"/>
        <w:rPr>
          <w:rFonts w:ascii="Arial Black" w:hAnsi="Arial Black"/>
          <w:sz w:val="32"/>
          <w:szCs w:val="32"/>
        </w:rPr>
      </w:pPr>
    </w:p>
    <w:p w:rsidR="00C93C52" w:rsidRDefault="00C93C52" w:rsidP="003B0F9F">
      <w:pPr>
        <w:jc w:val="center"/>
        <w:rPr>
          <w:rFonts w:ascii="Arial Black" w:hAnsi="Arial Black"/>
          <w:sz w:val="32"/>
          <w:szCs w:val="32"/>
        </w:rPr>
      </w:pPr>
    </w:p>
    <w:p w:rsidR="003B0F9F" w:rsidRDefault="003B0F9F" w:rsidP="003B0F9F">
      <w:pPr>
        <w:jc w:val="center"/>
        <w:rPr>
          <w:rFonts w:ascii="Arial Black" w:hAnsi="Arial Black"/>
          <w:sz w:val="144"/>
          <w:szCs w:val="144"/>
        </w:rPr>
      </w:pPr>
      <w:r w:rsidRPr="007C5EA1">
        <w:rPr>
          <w:rFonts w:ascii="Arial Black" w:hAnsi="Arial Black"/>
          <w:sz w:val="144"/>
          <w:szCs w:val="144"/>
        </w:rPr>
        <w:t>Appendix N</w:t>
      </w:r>
    </w:p>
    <w:p w:rsidR="003B0F9F" w:rsidRPr="007C5EA1" w:rsidRDefault="003B0F9F" w:rsidP="003B0F9F">
      <w:pPr>
        <w:jc w:val="center"/>
        <w:rPr>
          <w:rFonts w:ascii="Arial Black" w:hAnsi="Arial Black"/>
          <w:sz w:val="144"/>
          <w:szCs w:val="144"/>
        </w:rPr>
      </w:pPr>
    </w:p>
    <w:p w:rsidR="003B0F9F" w:rsidRDefault="003B0F9F" w:rsidP="003B0F9F">
      <w:pPr>
        <w:pStyle w:val="ListParagraph"/>
        <w:spacing w:line="276" w:lineRule="auto"/>
        <w:ind w:left="0"/>
        <w:jc w:val="center"/>
        <w:rPr>
          <w:rFonts w:ascii="Arial Black" w:hAnsi="Arial Black"/>
          <w:sz w:val="48"/>
          <w:szCs w:val="48"/>
        </w:rPr>
      </w:pPr>
      <w:r w:rsidRPr="001A248F">
        <w:rPr>
          <w:rFonts w:ascii="Arial Black" w:hAnsi="Arial Black"/>
          <w:sz w:val="48"/>
          <w:szCs w:val="48"/>
        </w:rPr>
        <w:t>May 18, 2015 Petition to the Tennessee Supreme Court</w:t>
      </w: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3B0F9F">
      <w:pPr>
        <w:pStyle w:val="ListParagraph"/>
        <w:spacing w:line="276" w:lineRule="auto"/>
        <w:ind w:left="0"/>
        <w:jc w:val="center"/>
        <w:rPr>
          <w:rFonts w:ascii="Arial Black" w:hAnsi="Arial Black"/>
          <w:sz w:val="48"/>
          <w:szCs w:val="48"/>
        </w:rPr>
      </w:pPr>
    </w:p>
    <w:p w:rsidR="00C93C52" w:rsidRDefault="00C93C52" w:rsidP="00C93C52">
      <w:pPr>
        <w:jc w:val="center"/>
        <w:rPr>
          <w:rFonts w:ascii="Arial Black" w:hAnsi="Arial Black"/>
          <w:sz w:val="32"/>
          <w:szCs w:val="32"/>
        </w:rPr>
      </w:pPr>
    </w:p>
    <w:p w:rsidR="00C93C52" w:rsidRDefault="00C93C52" w:rsidP="00C93C52">
      <w:pPr>
        <w:jc w:val="center"/>
        <w:rPr>
          <w:rFonts w:ascii="Arial Black" w:hAnsi="Arial Black"/>
          <w:sz w:val="144"/>
          <w:szCs w:val="144"/>
        </w:rPr>
      </w:pPr>
      <w:r w:rsidRPr="007C5EA1">
        <w:rPr>
          <w:rFonts w:ascii="Arial Black" w:hAnsi="Arial Black"/>
          <w:sz w:val="144"/>
          <w:szCs w:val="144"/>
        </w:rPr>
        <w:t xml:space="preserve">Appendix </w:t>
      </w:r>
      <w:r>
        <w:rPr>
          <w:rFonts w:ascii="Arial Black" w:hAnsi="Arial Black"/>
          <w:sz w:val="144"/>
          <w:szCs w:val="144"/>
        </w:rPr>
        <w:t>O</w:t>
      </w:r>
    </w:p>
    <w:p w:rsidR="00C93C52" w:rsidRPr="007C5EA1" w:rsidRDefault="00C93C52" w:rsidP="00C93C52">
      <w:pPr>
        <w:jc w:val="center"/>
        <w:rPr>
          <w:rFonts w:ascii="Arial Black" w:hAnsi="Arial Black"/>
          <w:sz w:val="144"/>
          <w:szCs w:val="144"/>
        </w:rPr>
      </w:pPr>
    </w:p>
    <w:p w:rsidR="00C93C52" w:rsidRPr="00A07DD2" w:rsidRDefault="00C93C52" w:rsidP="00C93C52">
      <w:pPr>
        <w:pStyle w:val="ListParagraph"/>
        <w:spacing w:line="276" w:lineRule="auto"/>
        <w:ind w:left="0"/>
        <w:jc w:val="center"/>
        <w:rPr>
          <w:sz w:val="24"/>
          <w:szCs w:val="24"/>
        </w:rPr>
      </w:pPr>
      <w:r w:rsidRPr="00C93C52">
        <w:rPr>
          <w:rFonts w:ascii="Arial Black" w:hAnsi="Arial Black"/>
          <w:i/>
          <w:sz w:val="48"/>
          <w:szCs w:val="48"/>
        </w:rPr>
        <w:t>Glossip v. Oklahoma</w:t>
      </w:r>
      <w:r>
        <w:rPr>
          <w:rFonts w:ascii="Arial Black" w:hAnsi="Arial Black"/>
          <w:sz w:val="48"/>
          <w:szCs w:val="48"/>
        </w:rPr>
        <w:t>, 145 S.Ct. 612 (February 25, 2025)</w:t>
      </w:r>
    </w:p>
    <w:p w:rsidR="00C93C52" w:rsidRPr="00A07DD2" w:rsidRDefault="00C93C52" w:rsidP="003B0F9F">
      <w:pPr>
        <w:pStyle w:val="ListParagraph"/>
        <w:spacing w:line="276" w:lineRule="auto"/>
        <w:ind w:left="0"/>
        <w:jc w:val="center"/>
        <w:rPr>
          <w:sz w:val="24"/>
          <w:szCs w:val="24"/>
        </w:rPr>
      </w:pPr>
    </w:p>
    <w:sectPr w:rsidR="00C93C52" w:rsidRPr="00A07DD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97F" w:rsidRDefault="00E0397F" w:rsidP="00130E6F">
      <w:r>
        <w:separator/>
      </w:r>
    </w:p>
  </w:endnote>
  <w:endnote w:type="continuationSeparator" w:id="0">
    <w:p w:rsidR="00E0397F" w:rsidRDefault="00E0397F" w:rsidP="0013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5750278"/>
      <w:docPartObj>
        <w:docPartGallery w:val="Page Numbers (Bottom of Page)"/>
        <w:docPartUnique/>
      </w:docPartObj>
    </w:sdtPr>
    <w:sdtEndPr>
      <w:rPr>
        <w:noProof/>
      </w:rPr>
    </w:sdtEndPr>
    <w:sdtContent>
      <w:p w:rsidR="00DE15E2" w:rsidRDefault="00DE15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DE15E2" w:rsidRDefault="00DE1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97F" w:rsidRDefault="00E0397F" w:rsidP="00130E6F">
      <w:r>
        <w:separator/>
      </w:r>
    </w:p>
  </w:footnote>
  <w:footnote w:type="continuationSeparator" w:id="0">
    <w:p w:rsidR="00E0397F" w:rsidRDefault="00E0397F" w:rsidP="0013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173B"/>
    <w:multiLevelType w:val="hybridMultilevel"/>
    <w:tmpl w:val="4FDAE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95F78"/>
    <w:multiLevelType w:val="hybridMultilevel"/>
    <w:tmpl w:val="4A503310"/>
    <w:lvl w:ilvl="0" w:tplc="76229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D4B42"/>
    <w:multiLevelType w:val="hybridMultilevel"/>
    <w:tmpl w:val="70944324"/>
    <w:lvl w:ilvl="0" w:tplc="44A286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87D58"/>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237954"/>
    <w:multiLevelType w:val="hybridMultilevel"/>
    <w:tmpl w:val="BAC82ABC"/>
    <w:lvl w:ilvl="0" w:tplc="99AAA6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F2F69"/>
    <w:multiLevelType w:val="hybridMultilevel"/>
    <w:tmpl w:val="165E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B2F90"/>
    <w:multiLevelType w:val="hybridMultilevel"/>
    <w:tmpl w:val="DBB42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23354"/>
    <w:multiLevelType w:val="hybridMultilevel"/>
    <w:tmpl w:val="A9280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A27F2"/>
    <w:multiLevelType w:val="hybridMultilevel"/>
    <w:tmpl w:val="2F96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D6591E"/>
    <w:multiLevelType w:val="hybridMultilevel"/>
    <w:tmpl w:val="4808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0C5A2B"/>
    <w:multiLevelType w:val="hybridMultilevel"/>
    <w:tmpl w:val="EE4A1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6E25D7"/>
    <w:multiLevelType w:val="hybridMultilevel"/>
    <w:tmpl w:val="A4E6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C3ADF"/>
    <w:multiLevelType w:val="hybridMultilevel"/>
    <w:tmpl w:val="65F0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8D7DA6"/>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2A186C"/>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D22E65"/>
    <w:multiLevelType w:val="hybridMultilevel"/>
    <w:tmpl w:val="096E2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277B68"/>
    <w:multiLevelType w:val="hybridMultilevel"/>
    <w:tmpl w:val="4B708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194DD2"/>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00FFE"/>
    <w:multiLevelType w:val="hybridMultilevel"/>
    <w:tmpl w:val="4856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16"/>
  </w:num>
  <w:num w:numId="5">
    <w:abstractNumId w:val="2"/>
  </w:num>
  <w:num w:numId="6">
    <w:abstractNumId w:val="3"/>
  </w:num>
  <w:num w:numId="7">
    <w:abstractNumId w:val="13"/>
  </w:num>
  <w:num w:numId="8">
    <w:abstractNumId w:val="17"/>
  </w:num>
  <w:num w:numId="9">
    <w:abstractNumId w:val="14"/>
  </w:num>
  <w:num w:numId="10">
    <w:abstractNumId w:val="0"/>
  </w:num>
  <w:num w:numId="11">
    <w:abstractNumId w:val="9"/>
  </w:num>
  <w:num w:numId="12">
    <w:abstractNumId w:val="4"/>
  </w:num>
  <w:num w:numId="13">
    <w:abstractNumId w:val="15"/>
  </w:num>
  <w:num w:numId="14">
    <w:abstractNumId w:val="11"/>
  </w:num>
  <w:num w:numId="15">
    <w:abstractNumId w:val="7"/>
  </w:num>
  <w:num w:numId="16">
    <w:abstractNumId w:val="18"/>
  </w:num>
  <w:num w:numId="17">
    <w:abstractNumId w:val="12"/>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E6F"/>
    <w:rsid w:val="000038AE"/>
    <w:rsid w:val="000135A2"/>
    <w:rsid w:val="0005758E"/>
    <w:rsid w:val="00083881"/>
    <w:rsid w:val="000F2E6C"/>
    <w:rsid w:val="001063C7"/>
    <w:rsid w:val="001254C1"/>
    <w:rsid w:val="00130E6F"/>
    <w:rsid w:val="0013562B"/>
    <w:rsid w:val="00151656"/>
    <w:rsid w:val="00242AF9"/>
    <w:rsid w:val="002452F8"/>
    <w:rsid w:val="002B155B"/>
    <w:rsid w:val="002E5310"/>
    <w:rsid w:val="003041B1"/>
    <w:rsid w:val="00313EB9"/>
    <w:rsid w:val="003B0F9F"/>
    <w:rsid w:val="004868D3"/>
    <w:rsid w:val="004B5EC7"/>
    <w:rsid w:val="004D4BE9"/>
    <w:rsid w:val="004E58A3"/>
    <w:rsid w:val="004E7058"/>
    <w:rsid w:val="00513A6A"/>
    <w:rsid w:val="00530DC5"/>
    <w:rsid w:val="00533B4A"/>
    <w:rsid w:val="0061617D"/>
    <w:rsid w:val="006C4B77"/>
    <w:rsid w:val="006F2387"/>
    <w:rsid w:val="00720E95"/>
    <w:rsid w:val="007227F0"/>
    <w:rsid w:val="00732ADC"/>
    <w:rsid w:val="007D49E5"/>
    <w:rsid w:val="00865C52"/>
    <w:rsid w:val="0087083D"/>
    <w:rsid w:val="008740B3"/>
    <w:rsid w:val="00881767"/>
    <w:rsid w:val="008C4206"/>
    <w:rsid w:val="00920123"/>
    <w:rsid w:val="009223E4"/>
    <w:rsid w:val="00997608"/>
    <w:rsid w:val="009F4022"/>
    <w:rsid w:val="00A03C5E"/>
    <w:rsid w:val="00A07DD2"/>
    <w:rsid w:val="00A61585"/>
    <w:rsid w:val="00A62EBB"/>
    <w:rsid w:val="00A70C6D"/>
    <w:rsid w:val="00A9297E"/>
    <w:rsid w:val="00AB3D85"/>
    <w:rsid w:val="00AC0435"/>
    <w:rsid w:val="00AD61FE"/>
    <w:rsid w:val="00AF1250"/>
    <w:rsid w:val="00B216D1"/>
    <w:rsid w:val="00B31F79"/>
    <w:rsid w:val="00B53E1D"/>
    <w:rsid w:val="00B5785A"/>
    <w:rsid w:val="00BA2BB6"/>
    <w:rsid w:val="00BD6C12"/>
    <w:rsid w:val="00C1177E"/>
    <w:rsid w:val="00C37112"/>
    <w:rsid w:val="00C93C52"/>
    <w:rsid w:val="00CF51D2"/>
    <w:rsid w:val="00D00A28"/>
    <w:rsid w:val="00D0199E"/>
    <w:rsid w:val="00D27112"/>
    <w:rsid w:val="00D437FD"/>
    <w:rsid w:val="00D73A7F"/>
    <w:rsid w:val="00D851BE"/>
    <w:rsid w:val="00D96D62"/>
    <w:rsid w:val="00DA1979"/>
    <w:rsid w:val="00DA2B4C"/>
    <w:rsid w:val="00DE15E2"/>
    <w:rsid w:val="00E0397F"/>
    <w:rsid w:val="00E14657"/>
    <w:rsid w:val="00E53C62"/>
    <w:rsid w:val="00E845C6"/>
    <w:rsid w:val="00EE0347"/>
    <w:rsid w:val="00F04769"/>
    <w:rsid w:val="00F84AED"/>
    <w:rsid w:val="00F97557"/>
    <w:rsid w:val="00FC7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C3BDC"/>
  <w15:chartTrackingRefBased/>
  <w15:docId w15:val="{C031AAA7-057F-4D05-BE6C-C70A874A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979"/>
  </w:style>
  <w:style w:type="paragraph" w:styleId="Heading1">
    <w:name w:val="heading 1"/>
    <w:basedOn w:val="Normal"/>
    <w:next w:val="Normal"/>
    <w:link w:val="Heading1Char"/>
    <w:qFormat/>
    <w:rsid w:val="00DA1979"/>
    <w:pPr>
      <w:keepNext/>
      <w:jc w:val="center"/>
      <w:outlineLvl w:val="0"/>
    </w:pPr>
    <w:rPr>
      <w:b/>
      <w:bCs/>
      <w:sz w:val="26"/>
      <w:u w:val="single"/>
    </w:rPr>
  </w:style>
  <w:style w:type="paragraph" w:styleId="Heading2">
    <w:name w:val="heading 2"/>
    <w:basedOn w:val="Normal"/>
    <w:next w:val="Normal"/>
    <w:link w:val="Heading2Char"/>
    <w:qFormat/>
    <w:rsid w:val="00DA1979"/>
    <w:pPr>
      <w:keepNext/>
      <w:ind w:left="3600"/>
      <w:outlineLvl w:val="1"/>
    </w:pPr>
    <w:rPr>
      <w:sz w:val="24"/>
    </w:rPr>
  </w:style>
  <w:style w:type="paragraph" w:styleId="Heading3">
    <w:name w:val="heading 3"/>
    <w:basedOn w:val="Normal"/>
    <w:next w:val="Normal"/>
    <w:link w:val="Heading3Char"/>
    <w:qFormat/>
    <w:rsid w:val="00DA1979"/>
    <w:pPr>
      <w:keepNext/>
      <w:ind w:firstLine="720"/>
      <w:outlineLvl w:val="2"/>
    </w:pPr>
    <w:rPr>
      <w:rFonts w:ascii="Times" w:hAnsi="Times"/>
      <w:sz w:val="24"/>
    </w:rPr>
  </w:style>
  <w:style w:type="paragraph" w:styleId="Heading4">
    <w:name w:val="heading 4"/>
    <w:basedOn w:val="Normal"/>
    <w:next w:val="Normal"/>
    <w:link w:val="Heading4Char"/>
    <w:qFormat/>
    <w:rsid w:val="00DA1979"/>
    <w:pPr>
      <w:keepNext/>
      <w:outlineLvl w:val="3"/>
    </w:pPr>
    <w:rPr>
      <w:rFonts w:ascii="Times" w:hAnsi="Times"/>
      <w:sz w:val="24"/>
    </w:rPr>
  </w:style>
  <w:style w:type="paragraph" w:styleId="Heading5">
    <w:name w:val="heading 5"/>
    <w:basedOn w:val="Normal"/>
    <w:next w:val="Normal"/>
    <w:link w:val="Heading5Char"/>
    <w:qFormat/>
    <w:rsid w:val="00DA1979"/>
    <w:pPr>
      <w:keepNext/>
      <w:jc w:val="both"/>
      <w:outlineLvl w:val="4"/>
    </w:pPr>
    <w:rPr>
      <w:rFonts w:ascii="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979"/>
    <w:rPr>
      <w:b/>
      <w:bCs/>
      <w:sz w:val="26"/>
      <w:u w:val="single"/>
    </w:rPr>
  </w:style>
  <w:style w:type="character" w:customStyle="1" w:styleId="Heading2Char">
    <w:name w:val="Heading 2 Char"/>
    <w:basedOn w:val="DefaultParagraphFont"/>
    <w:link w:val="Heading2"/>
    <w:rsid w:val="00DA1979"/>
    <w:rPr>
      <w:sz w:val="24"/>
    </w:rPr>
  </w:style>
  <w:style w:type="character" w:customStyle="1" w:styleId="Heading3Char">
    <w:name w:val="Heading 3 Char"/>
    <w:basedOn w:val="DefaultParagraphFont"/>
    <w:link w:val="Heading3"/>
    <w:rsid w:val="00DA1979"/>
    <w:rPr>
      <w:rFonts w:ascii="Times" w:hAnsi="Times"/>
      <w:sz w:val="24"/>
    </w:rPr>
  </w:style>
  <w:style w:type="character" w:customStyle="1" w:styleId="Heading4Char">
    <w:name w:val="Heading 4 Char"/>
    <w:basedOn w:val="DefaultParagraphFont"/>
    <w:link w:val="Heading4"/>
    <w:rsid w:val="00DA1979"/>
    <w:rPr>
      <w:rFonts w:ascii="Times" w:hAnsi="Times"/>
      <w:sz w:val="24"/>
    </w:rPr>
  </w:style>
  <w:style w:type="character" w:customStyle="1" w:styleId="Heading5Char">
    <w:name w:val="Heading 5 Char"/>
    <w:basedOn w:val="DefaultParagraphFont"/>
    <w:link w:val="Heading5"/>
    <w:rsid w:val="00DA1979"/>
    <w:rPr>
      <w:rFonts w:ascii="Times" w:hAnsi="Times"/>
      <w:sz w:val="24"/>
    </w:rPr>
  </w:style>
  <w:style w:type="paragraph" w:styleId="Title">
    <w:name w:val="Title"/>
    <w:basedOn w:val="Normal"/>
    <w:link w:val="TitleChar"/>
    <w:qFormat/>
    <w:rsid w:val="00DA1979"/>
    <w:pPr>
      <w:jc w:val="center"/>
    </w:pPr>
    <w:rPr>
      <w:sz w:val="26"/>
    </w:rPr>
  </w:style>
  <w:style w:type="character" w:customStyle="1" w:styleId="TitleChar">
    <w:name w:val="Title Char"/>
    <w:basedOn w:val="DefaultParagraphFont"/>
    <w:link w:val="Title"/>
    <w:rsid w:val="00DA1979"/>
    <w:rPr>
      <w:sz w:val="26"/>
    </w:rPr>
  </w:style>
  <w:style w:type="paragraph" w:styleId="Subtitle">
    <w:name w:val="Subtitle"/>
    <w:basedOn w:val="Normal"/>
    <w:link w:val="SubtitleChar"/>
    <w:qFormat/>
    <w:rsid w:val="00DA1979"/>
    <w:pPr>
      <w:jc w:val="center"/>
    </w:pPr>
    <w:rPr>
      <w:rFonts w:ascii="Times" w:hAnsi="Times"/>
      <w:sz w:val="24"/>
    </w:rPr>
  </w:style>
  <w:style w:type="character" w:customStyle="1" w:styleId="SubtitleChar">
    <w:name w:val="Subtitle Char"/>
    <w:basedOn w:val="DefaultParagraphFont"/>
    <w:link w:val="Subtitle"/>
    <w:rsid w:val="00DA1979"/>
    <w:rPr>
      <w:rFonts w:ascii="Times" w:hAnsi="Times"/>
      <w:sz w:val="24"/>
    </w:rPr>
  </w:style>
  <w:style w:type="paragraph" w:styleId="ListParagraph">
    <w:name w:val="List Paragraph"/>
    <w:basedOn w:val="Normal"/>
    <w:uiPriority w:val="34"/>
    <w:qFormat/>
    <w:rsid w:val="00130E6F"/>
    <w:pPr>
      <w:ind w:left="720"/>
      <w:contextualSpacing/>
    </w:pPr>
  </w:style>
  <w:style w:type="paragraph" w:styleId="Header">
    <w:name w:val="header"/>
    <w:basedOn w:val="Normal"/>
    <w:link w:val="HeaderChar"/>
    <w:uiPriority w:val="99"/>
    <w:unhideWhenUsed/>
    <w:rsid w:val="00130E6F"/>
    <w:pPr>
      <w:tabs>
        <w:tab w:val="center" w:pos="4680"/>
        <w:tab w:val="right" w:pos="9360"/>
      </w:tabs>
    </w:pPr>
  </w:style>
  <w:style w:type="character" w:customStyle="1" w:styleId="HeaderChar">
    <w:name w:val="Header Char"/>
    <w:basedOn w:val="DefaultParagraphFont"/>
    <w:link w:val="Header"/>
    <w:uiPriority w:val="99"/>
    <w:rsid w:val="00130E6F"/>
  </w:style>
  <w:style w:type="paragraph" w:styleId="Footer">
    <w:name w:val="footer"/>
    <w:basedOn w:val="Normal"/>
    <w:link w:val="FooterChar"/>
    <w:uiPriority w:val="99"/>
    <w:unhideWhenUsed/>
    <w:rsid w:val="00130E6F"/>
    <w:pPr>
      <w:tabs>
        <w:tab w:val="center" w:pos="4680"/>
        <w:tab w:val="right" w:pos="9360"/>
      </w:tabs>
    </w:pPr>
  </w:style>
  <w:style w:type="character" w:customStyle="1" w:styleId="FooterChar">
    <w:name w:val="Footer Char"/>
    <w:basedOn w:val="DefaultParagraphFont"/>
    <w:link w:val="Footer"/>
    <w:uiPriority w:val="99"/>
    <w:rsid w:val="00130E6F"/>
  </w:style>
  <w:style w:type="paragraph" w:styleId="FootnoteText">
    <w:name w:val="footnote text"/>
    <w:basedOn w:val="Normal"/>
    <w:link w:val="FootnoteTextChar"/>
    <w:uiPriority w:val="99"/>
    <w:semiHidden/>
    <w:unhideWhenUsed/>
    <w:rsid w:val="004E7058"/>
  </w:style>
  <w:style w:type="character" w:customStyle="1" w:styleId="FootnoteTextChar">
    <w:name w:val="Footnote Text Char"/>
    <w:basedOn w:val="DefaultParagraphFont"/>
    <w:link w:val="FootnoteText"/>
    <w:uiPriority w:val="99"/>
    <w:semiHidden/>
    <w:rsid w:val="004E7058"/>
  </w:style>
  <w:style w:type="character" w:styleId="FootnoteReference">
    <w:name w:val="footnote reference"/>
    <w:basedOn w:val="DefaultParagraphFont"/>
    <w:uiPriority w:val="99"/>
    <w:semiHidden/>
    <w:unhideWhenUsed/>
    <w:rsid w:val="004E70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dc:creator>
  <cp:keywords/>
  <dc:description/>
  <cp:lastModifiedBy>Inmate</cp:lastModifiedBy>
  <cp:revision>2</cp:revision>
  <dcterms:created xsi:type="dcterms:W3CDTF">2025-07-29T15:04:00Z</dcterms:created>
  <dcterms:modified xsi:type="dcterms:W3CDTF">2025-07-29T15:04:00Z</dcterms:modified>
</cp:coreProperties>
</file>