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4C" w:rsidRDefault="00130E6F" w:rsidP="00130E6F">
      <w:pPr>
        <w:spacing w:line="276" w:lineRule="auto"/>
        <w:jc w:val="center"/>
        <w:rPr>
          <w:b/>
          <w:sz w:val="24"/>
          <w:szCs w:val="24"/>
        </w:rPr>
      </w:pPr>
      <w:bookmarkStart w:id="0" w:name="_GoBack"/>
      <w:bookmarkEnd w:id="0"/>
      <w:r>
        <w:rPr>
          <w:b/>
          <w:sz w:val="24"/>
          <w:szCs w:val="24"/>
        </w:rPr>
        <w:t>IN THE UNITED STATES DISTRICT COURT</w:t>
      </w:r>
    </w:p>
    <w:p w:rsidR="00130E6F" w:rsidRDefault="00130E6F" w:rsidP="00130E6F">
      <w:pPr>
        <w:spacing w:line="276" w:lineRule="auto"/>
        <w:jc w:val="center"/>
        <w:rPr>
          <w:b/>
          <w:sz w:val="24"/>
          <w:szCs w:val="24"/>
        </w:rPr>
      </w:pPr>
      <w:r>
        <w:rPr>
          <w:b/>
          <w:sz w:val="24"/>
          <w:szCs w:val="24"/>
        </w:rPr>
        <w:t>MIDDLE DISTRICT OF TENNESSEE</w:t>
      </w:r>
    </w:p>
    <w:p w:rsidR="00130E6F" w:rsidRDefault="00130E6F" w:rsidP="00130E6F">
      <w:pPr>
        <w:spacing w:line="276" w:lineRule="auto"/>
        <w:jc w:val="center"/>
        <w:rPr>
          <w:b/>
          <w:sz w:val="24"/>
          <w:szCs w:val="24"/>
        </w:rPr>
      </w:pPr>
      <w:r>
        <w:rPr>
          <w:b/>
          <w:sz w:val="24"/>
          <w:szCs w:val="24"/>
        </w:rPr>
        <w:t>NASHVILLE DIVISION</w:t>
      </w:r>
    </w:p>
    <w:p w:rsidR="00130E6F" w:rsidRDefault="00130E6F" w:rsidP="00130E6F">
      <w:pPr>
        <w:spacing w:line="276" w:lineRule="auto"/>
        <w:jc w:val="center"/>
        <w:rPr>
          <w:sz w:val="24"/>
          <w:szCs w:val="24"/>
        </w:rPr>
      </w:pPr>
    </w:p>
    <w:p w:rsidR="00130E6F" w:rsidRDefault="00130E6F" w:rsidP="00130E6F">
      <w:pPr>
        <w:spacing w:line="276" w:lineRule="auto"/>
        <w:rPr>
          <w:b/>
          <w:sz w:val="24"/>
          <w:szCs w:val="24"/>
        </w:rPr>
      </w:pPr>
      <w:r>
        <w:rPr>
          <w:sz w:val="24"/>
          <w:szCs w:val="24"/>
        </w:rPr>
        <w:t>KENNETH D. THOMAS,</w:t>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Petitioner.</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b/>
          <w:sz w:val="24"/>
          <w:szCs w:val="24"/>
        </w:rPr>
        <w:tab/>
      </w:r>
      <w:r>
        <w:rPr>
          <w:b/>
          <w:sz w:val="24"/>
          <w:szCs w:val="24"/>
        </w:rPr>
        <w:tab/>
      </w:r>
      <w:r>
        <w:rPr>
          <w:sz w:val="24"/>
          <w:szCs w:val="24"/>
        </w:rPr>
        <w:t>v.</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r>
        <w:rPr>
          <w:b/>
          <w:sz w:val="24"/>
          <w:szCs w:val="24"/>
        </w:rPr>
        <w:tab/>
        <w:t>NO.__________________</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sz w:val="24"/>
          <w:szCs w:val="24"/>
        </w:rPr>
        <w:t>KENNETH NELSEN, Warden</w:t>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Respondent.</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pBdr>
          <w:bottom w:val="single" w:sz="12" w:space="1" w:color="auto"/>
        </w:pBdr>
        <w:spacing w:line="276" w:lineRule="auto"/>
        <w:rPr>
          <w:b/>
          <w:sz w:val="24"/>
          <w:szCs w:val="24"/>
        </w:rPr>
      </w:pPr>
    </w:p>
    <w:p w:rsidR="00F616AB" w:rsidRDefault="00F616AB" w:rsidP="00130E6F">
      <w:pPr>
        <w:spacing w:line="276" w:lineRule="auto"/>
        <w:rPr>
          <w:b/>
          <w:sz w:val="24"/>
          <w:szCs w:val="24"/>
        </w:rPr>
      </w:pPr>
    </w:p>
    <w:p w:rsidR="00D96D62" w:rsidRDefault="003D20EF" w:rsidP="00130E6F">
      <w:pPr>
        <w:pBdr>
          <w:bottom w:val="single" w:sz="12" w:space="1" w:color="auto"/>
        </w:pBdr>
        <w:spacing w:line="276" w:lineRule="auto"/>
        <w:jc w:val="center"/>
        <w:rPr>
          <w:b/>
          <w:sz w:val="24"/>
          <w:szCs w:val="24"/>
        </w:rPr>
      </w:pPr>
      <w:bookmarkStart w:id="1" w:name="_Hlk204001719"/>
      <w:bookmarkStart w:id="2" w:name="_Hlk203807388"/>
      <w:r>
        <w:rPr>
          <w:b/>
          <w:sz w:val="24"/>
          <w:szCs w:val="24"/>
        </w:rPr>
        <w:t>EMERGENCY MOTION FOR RELEASE ON BOND PENDING RESOLUTION OF HABEAS CORPUS PETITION</w:t>
      </w:r>
    </w:p>
    <w:bookmarkEnd w:id="1"/>
    <w:p w:rsidR="002B2808" w:rsidRDefault="002B2808" w:rsidP="00130E6F">
      <w:pPr>
        <w:pBdr>
          <w:bottom w:val="single" w:sz="12" w:space="1" w:color="auto"/>
        </w:pBdr>
        <w:spacing w:line="276" w:lineRule="auto"/>
        <w:jc w:val="center"/>
        <w:rPr>
          <w:b/>
          <w:sz w:val="24"/>
          <w:szCs w:val="24"/>
        </w:rPr>
      </w:pPr>
    </w:p>
    <w:p w:rsidR="002B2808" w:rsidRDefault="002B2808" w:rsidP="002B2808">
      <w:pPr>
        <w:spacing w:line="276" w:lineRule="auto"/>
        <w:jc w:val="center"/>
        <w:rPr>
          <w:b/>
          <w:sz w:val="16"/>
          <w:szCs w:val="16"/>
        </w:rPr>
      </w:pPr>
    </w:p>
    <w:p w:rsidR="002B2808" w:rsidRPr="003D20EF" w:rsidRDefault="002B2808" w:rsidP="002B2808">
      <w:pPr>
        <w:spacing w:line="276" w:lineRule="auto"/>
        <w:jc w:val="center"/>
        <w:rPr>
          <w:b/>
          <w:sz w:val="16"/>
          <w:szCs w:val="16"/>
        </w:rPr>
      </w:pPr>
    </w:p>
    <w:p w:rsidR="00D96D62" w:rsidRDefault="00D96D62" w:rsidP="00D96D62">
      <w:pPr>
        <w:spacing w:after="240" w:line="276" w:lineRule="auto"/>
        <w:jc w:val="center"/>
        <w:rPr>
          <w:b/>
          <w:sz w:val="24"/>
          <w:szCs w:val="24"/>
        </w:rPr>
      </w:pPr>
      <w:r>
        <w:rPr>
          <w:b/>
          <w:sz w:val="24"/>
          <w:szCs w:val="24"/>
        </w:rPr>
        <w:t>INTRODUCTION</w:t>
      </w:r>
    </w:p>
    <w:bookmarkEnd w:id="2"/>
    <w:p w:rsidR="007227F0" w:rsidRDefault="003D20EF" w:rsidP="003D20EF">
      <w:pPr>
        <w:spacing w:after="240" w:line="360" w:lineRule="auto"/>
        <w:jc w:val="both"/>
        <w:rPr>
          <w:sz w:val="24"/>
          <w:szCs w:val="24"/>
        </w:rPr>
      </w:pPr>
      <w:r>
        <w:rPr>
          <w:sz w:val="24"/>
          <w:szCs w:val="24"/>
        </w:rPr>
        <w:tab/>
        <w:t>Petitioner, Kenneth Deangelo “Delo” Thomas, pro se, respectfully moves this Court for immediate release on bond pending resolution of his emergency 28 U.S.C. § 2254 petition. Petitioner is serving a sentence of life imprisonment for a crime he did not commit, based on false testimony, suppressed exculpatory evidence, and unconstitutional prosecutorial misconduct.</w:t>
      </w:r>
    </w:p>
    <w:p w:rsidR="003D20EF" w:rsidRDefault="003D20EF" w:rsidP="003D20EF">
      <w:pPr>
        <w:spacing w:after="240" w:line="360" w:lineRule="auto"/>
        <w:jc w:val="both"/>
        <w:rPr>
          <w:sz w:val="24"/>
          <w:szCs w:val="24"/>
        </w:rPr>
      </w:pPr>
      <w:r>
        <w:rPr>
          <w:sz w:val="24"/>
          <w:szCs w:val="24"/>
        </w:rPr>
        <w:tab/>
        <w:t>Petitioner has made a substantial showing of actual innocence and constitutional violations sufficient to warrant habeas relief, and his continued incarceration during the pendency of these proceedings violates the principles of justice, equity, and due process.</w:t>
      </w:r>
    </w:p>
    <w:p w:rsidR="003D20EF" w:rsidRPr="003D20EF" w:rsidRDefault="003D20EF" w:rsidP="003D20EF">
      <w:pPr>
        <w:spacing w:line="360" w:lineRule="auto"/>
        <w:jc w:val="both"/>
        <w:rPr>
          <w:sz w:val="16"/>
          <w:szCs w:val="16"/>
        </w:rPr>
      </w:pPr>
    </w:p>
    <w:p w:rsidR="003D20EF" w:rsidRDefault="003D20EF" w:rsidP="003D20EF">
      <w:pPr>
        <w:spacing w:after="240" w:line="360" w:lineRule="auto"/>
        <w:jc w:val="center"/>
        <w:rPr>
          <w:b/>
          <w:sz w:val="24"/>
          <w:szCs w:val="24"/>
        </w:rPr>
      </w:pPr>
      <w:r>
        <w:rPr>
          <w:b/>
          <w:sz w:val="24"/>
          <w:szCs w:val="24"/>
        </w:rPr>
        <w:t>LEGAL STANDARD</w:t>
      </w:r>
    </w:p>
    <w:p w:rsidR="003D20EF" w:rsidRDefault="003D20EF" w:rsidP="003D20EF">
      <w:pPr>
        <w:spacing w:after="240" w:line="360" w:lineRule="auto"/>
        <w:jc w:val="both"/>
        <w:rPr>
          <w:sz w:val="24"/>
          <w:szCs w:val="24"/>
        </w:rPr>
      </w:pPr>
      <w:r>
        <w:rPr>
          <w:sz w:val="24"/>
          <w:szCs w:val="24"/>
        </w:rPr>
        <w:tab/>
        <w:t>Federal courts have the authority to release habeas petitioners on bail under exceptional circumstances where:</w:t>
      </w:r>
    </w:p>
    <w:p w:rsidR="003D20EF" w:rsidRDefault="00CA6D0D" w:rsidP="003D20EF">
      <w:pPr>
        <w:pStyle w:val="ListParagraph"/>
        <w:numPr>
          <w:ilvl w:val="0"/>
          <w:numId w:val="20"/>
        </w:numPr>
        <w:spacing w:after="240" w:line="360" w:lineRule="auto"/>
        <w:jc w:val="both"/>
        <w:rPr>
          <w:sz w:val="24"/>
          <w:szCs w:val="24"/>
        </w:rPr>
      </w:pPr>
      <w:r>
        <w:rPr>
          <w:sz w:val="24"/>
          <w:szCs w:val="24"/>
        </w:rPr>
        <w:t>The habeas petition raises substantial claims,</w:t>
      </w:r>
    </w:p>
    <w:p w:rsidR="00CA6D0D" w:rsidRPr="00CA6D0D" w:rsidRDefault="00CA6D0D" w:rsidP="00CA6D0D">
      <w:pPr>
        <w:pStyle w:val="ListParagraph"/>
        <w:spacing w:after="240" w:line="360" w:lineRule="auto"/>
        <w:jc w:val="both"/>
        <w:rPr>
          <w:sz w:val="16"/>
          <w:szCs w:val="16"/>
        </w:rPr>
      </w:pPr>
    </w:p>
    <w:p w:rsidR="00CA6D0D" w:rsidRDefault="00CA6D0D" w:rsidP="003D20EF">
      <w:pPr>
        <w:pStyle w:val="ListParagraph"/>
        <w:numPr>
          <w:ilvl w:val="0"/>
          <w:numId w:val="20"/>
        </w:numPr>
        <w:spacing w:after="240" w:line="360" w:lineRule="auto"/>
        <w:jc w:val="both"/>
        <w:rPr>
          <w:sz w:val="24"/>
          <w:szCs w:val="24"/>
        </w:rPr>
      </w:pPr>
      <w:r>
        <w:rPr>
          <w:sz w:val="24"/>
          <w:szCs w:val="24"/>
        </w:rPr>
        <w:lastRenderedPageBreak/>
        <w:t>There exists a high probability of success on the merits, and</w:t>
      </w:r>
    </w:p>
    <w:p w:rsidR="00CA6D0D" w:rsidRDefault="00CA6D0D" w:rsidP="003D20EF">
      <w:pPr>
        <w:pStyle w:val="ListParagraph"/>
        <w:numPr>
          <w:ilvl w:val="0"/>
          <w:numId w:val="20"/>
        </w:numPr>
        <w:spacing w:after="240" w:line="360" w:lineRule="auto"/>
        <w:jc w:val="both"/>
        <w:rPr>
          <w:sz w:val="24"/>
          <w:szCs w:val="24"/>
        </w:rPr>
      </w:pPr>
      <w:r>
        <w:rPr>
          <w:sz w:val="24"/>
          <w:szCs w:val="24"/>
        </w:rPr>
        <w:t>Extraordinary circumstances justify release</w:t>
      </w:r>
      <w:r w:rsidR="0083708A">
        <w:rPr>
          <w:sz w:val="24"/>
          <w:szCs w:val="24"/>
        </w:rPr>
        <w:t xml:space="preserve">  (</w:t>
      </w:r>
      <w:r w:rsidR="0083708A" w:rsidRPr="00D0199E">
        <w:rPr>
          <w:i/>
          <w:sz w:val="24"/>
          <w:szCs w:val="24"/>
        </w:rPr>
        <w:t>Lee v. Jabe</w:t>
      </w:r>
      <w:r w:rsidR="0083708A">
        <w:rPr>
          <w:sz w:val="24"/>
          <w:szCs w:val="24"/>
        </w:rPr>
        <w:t>, 989 F.2d 869 (6</w:t>
      </w:r>
      <w:r w:rsidR="0083708A" w:rsidRPr="00A61585">
        <w:rPr>
          <w:sz w:val="24"/>
          <w:szCs w:val="24"/>
          <w:vertAlign w:val="superscript"/>
        </w:rPr>
        <w:t>th</w:t>
      </w:r>
      <w:r w:rsidR="0083708A">
        <w:rPr>
          <w:sz w:val="24"/>
          <w:szCs w:val="24"/>
        </w:rPr>
        <w:t xml:space="preserve"> Cir. 1993), </w:t>
      </w:r>
      <w:r w:rsidR="0083708A" w:rsidRPr="00D0199E">
        <w:rPr>
          <w:i/>
          <w:sz w:val="24"/>
          <w:szCs w:val="24"/>
        </w:rPr>
        <w:t>Nash v. Eberlin</w:t>
      </w:r>
      <w:r w:rsidR="0083708A">
        <w:rPr>
          <w:sz w:val="24"/>
          <w:szCs w:val="24"/>
        </w:rPr>
        <w:t>, 437 F.3d 519 (6</w:t>
      </w:r>
      <w:r w:rsidR="0083708A" w:rsidRPr="00A61585">
        <w:rPr>
          <w:sz w:val="24"/>
          <w:szCs w:val="24"/>
          <w:vertAlign w:val="superscript"/>
        </w:rPr>
        <w:t>th</w:t>
      </w:r>
      <w:r w:rsidR="0083708A">
        <w:rPr>
          <w:sz w:val="24"/>
          <w:szCs w:val="24"/>
        </w:rPr>
        <w:t xml:space="preserve"> Cir. 2006), </w:t>
      </w:r>
      <w:r w:rsidR="0083708A" w:rsidRPr="00D0199E">
        <w:rPr>
          <w:i/>
          <w:sz w:val="24"/>
          <w:szCs w:val="24"/>
        </w:rPr>
        <w:t>Sizemore v. District Court</w:t>
      </w:r>
      <w:r w:rsidR="0083708A">
        <w:rPr>
          <w:sz w:val="24"/>
          <w:szCs w:val="24"/>
        </w:rPr>
        <w:t>, 735 F.2d 204 (6</w:t>
      </w:r>
      <w:r w:rsidR="0083708A" w:rsidRPr="00A61585">
        <w:rPr>
          <w:sz w:val="24"/>
          <w:szCs w:val="24"/>
          <w:vertAlign w:val="superscript"/>
        </w:rPr>
        <w:t>th</w:t>
      </w:r>
      <w:r w:rsidR="0083708A">
        <w:rPr>
          <w:sz w:val="24"/>
          <w:szCs w:val="24"/>
        </w:rPr>
        <w:t xml:space="preserve"> Cir. 1984), </w:t>
      </w:r>
      <w:r w:rsidR="0083708A" w:rsidRPr="00D0199E">
        <w:rPr>
          <w:i/>
          <w:sz w:val="24"/>
          <w:szCs w:val="24"/>
        </w:rPr>
        <w:t>Aronson v. May</w:t>
      </w:r>
      <w:r w:rsidR="0083708A">
        <w:rPr>
          <w:sz w:val="24"/>
          <w:szCs w:val="24"/>
        </w:rPr>
        <w:t>, 85 S.Ct. 3 (1964), and equivalent precedents.).</w:t>
      </w:r>
    </w:p>
    <w:p w:rsidR="0083708A" w:rsidRPr="0083708A" w:rsidRDefault="0083708A" w:rsidP="0083708A">
      <w:pPr>
        <w:pStyle w:val="ListParagraph"/>
        <w:rPr>
          <w:sz w:val="24"/>
          <w:szCs w:val="24"/>
        </w:rPr>
      </w:pPr>
    </w:p>
    <w:p w:rsidR="0083708A" w:rsidRDefault="0083708A" w:rsidP="0083708A">
      <w:pPr>
        <w:spacing w:line="360" w:lineRule="auto"/>
        <w:jc w:val="both"/>
        <w:rPr>
          <w:sz w:val="24"/>
          <w:szCs w:val="24"/>
        </w:rPr>
      </w:pPr>
      <w:r>
        <w:rPr>
          <w:sz w:val="24"/>
          <w:szCs w:val="24"/>
        </w:rPr>
        <w:t>The Supreme Court has also recognized the principle of “actual innocence as a gateway” for overcoming procedural bars (</w:t>
      </w:r>
      <w:r w:rsidRPr="002B2808">
        <w:rPr>
          <w:i/>
          <w:sz w:val="24"/>
          <w:szCs w:val="24"/>
        </w:rPr>
        <w:t>Schlup v. Delo</w:t>
      </w:r>
      <w:r>
        <w:rPr>
          <w:sz w:val="24"/>
          <w:szCs w:val="24"/>
        </w:rPr>
        <w:t>, 513 U.S. 298 (1995)).</w:t>
      </w:r>
    </w:p>
    <w:p w:rsidR="0083708A" w:rsidRPr="0083708A" w:rsidRDefault="0083708A" w:rsidP="0083708A">
      <w:pPr>
        <w:spacing w:after="240" w:line="360" w:lineRule="auto"/>
        <w:jc w:val="both"/>
        <w:rPr>
          <w:sz w:val="16"/>
          <w:szCs w:val="16"/>
        </w:rPr>
      </w:pPr>
    </w:p>
    <w:p w:rsidR="0083708A" w:rsidRDefault="0083708A" w:rsidP="0083708A">
      <w:pPr>
        <w:spacing w:after="240" w:line="360" w:lineRule="auto"/>
        <w:jc w:val="center"/>
        <w:rPr>
          <w:b/>
          <w:sz w:val="24"/>
          <w:szCs w:val="24"/>
        </w:rPr>
      </w:pPr>
      <w:r>
        <w:rPr>
          <w:b/>
          <w:sz w:val="24"/>
          <w:szCs w:val="24"/>
        </w:rPr>
        <w:t>ARGUMENT</w:t>
      </w:r>
    </w:p>
    <w:p w:rsidR="0083708A" w:rsidRDefault="0083708A" w:rsidP="0083708A">
      <w:pPr>
        <w:pStyle w:val="ListParagraph"/>
        <w:numPr>
          <w:ilvl w:val="0"/>
          <w:numId w:val="21"/>
        </w:numPr>
        <w:spacing w:after="240" w:line="360" w:lineRule="auto"/>
        <w:jc w:val="both"/>
        <w:rPr>
          <w:b/>
          <w:sz w:val="24"/>
          <w:szCs w:val="24"/>
        </w:rPr>
      </w:pPr>
      <w:r>
        <w:rPr>
          <w:b/>
          <w:sz w:val="24"/>
          <w:szCs w:val="24"/>
        </w:rPr>
        <w:t>Petitioner Presents a Strong Showing of Actual Innocence</w:t>
      </w:r>
    </w:p>
    <w:p w:rsidR="0083708A" w:rsidRDefault="0083708A" w:rsidP="0083708A">
      <w:pPr>
        <w:spacing w:after="240" w:line="360" w:lineRule="auto"/>
        <w:jc w:val="both"/>
        <w:rPr>
          <w:sz w:val="24"/>
          <w:szCs w:val="24"/>
        </w:rPr>
      </w:pPr>
      <w:r>
        <w:rPr>
          <w:sz w:val="24"/>
          <w:szCs w:val="24"/>
        </w:rPr>
        <w:tab/>
        <w:t xml:space="preserve">Newly discovered evidence proves that Paul Talley – the State’s star witness – knowingly lied under oath when he testified that Petitioner committed the murder of Andrew Titus. In a 2023 discovery, new counsel found a buried 1999 police interview in which Talley never implicate Petitioner and instead identified another individual – </w:t>
      </w:r>
      <w:r w:rsidR="00624F25">
        <w:rPr>
          <w:sz w:val="24"/>
          <w:szCs w:val="24"/>
        </w:rPr>
        <w:t>“</w:t>
      </w:r>
      <w:r>
        <w:rPr>
          <w:sz w:val="24"/>
          <w:szCs w:val="24"/>
        </w:rPr>
        <w:t>Leevale’s brother</w:t>
      </w:r>
      <w:r w:rsidR="00624F25">
        <w:rPr>
          <w:sz w:val="24"/>
          <w:szCs w:val="24"/>
        </w:rPr>
        <w:t>”</w:t>
      </w:r>
      <w:r>
        <w:rPr>
          <w:sz w:val="24"/>
          <w:szCs w:val="24"/>
        </w:rPr>
        <w:t xml:space="preserve"> – as the shooter.</w:t>
      </w:r>
      <w:r w:rsidR="00624F25">
        <w:rPr>
          <w:sz w:val="24"/>
          <w:szCs w:val="24"/>
        </w:rPr>
        <w:t xml:space="preserve"> Prosecutors and police detectives had </w:t>
      </w:r>
      <w:r w:rsidR="00624F25" w:rsidRPr="00624F25">
        <w:rPr>
          <w:i/>
          <w:sz w:val="24"/>
          <w:szCs w:val="24"/>
        </w:rPr>
        <w:t>full knowledge of Petitioner’s innocence</w:t>
      </w:r>
      <w:r w:rsidR="00624F25">
        <w:rPr>
          <w:sz w:val="24"/>
          <w:szCs w:val="24"/>
        </w:rPr>
        <w:t xml:space="preserve"> and Talley’s false testimony all along – yet failed to disclose either.</w:t>
      </w:r>
    </w:p>
    <w:p w:rsidR="00624F25" w:rsidRDefault="00624F25" w:rsidP="0083708A">
      <w:pPr>
        <w:spacing w:after="240" w:line="360" w:lineRule="auto"/>
        <w:jc w:val="both"/>
        <w:rPr>
          <w:sz w:val="24"/>
          <w:szCs w:val="24"/>
        </w:rPr>
      </w:pPr>
      <w:r>
        <w:rPr>
          <w:sz w:val="24"/>
          <w:szCs w:val="24"/>
        </w:rPr>
        <w:tab/>
        <w:t xml:space="preserve">In 2012, 2014, and again in 2025, Talley provided </w:t>
      </w:r>
      <w:r w:rsidR="00F616AB">
        <w:rPr>
          <w:sz w:val="24"/>
          <w:szCs w:val="24"/>
        </w:rPr>
        <w:t xml:space="preserve">a </w:t>
      </w:r>
      <w:r>
        <w:rPr>
          <w:sz w:val="24"/>
          <w:szCs w:val="24"/>
        </w:rPr>
        <w:t>sworn affidavit and testimony:</w:t>
      </w:r>
    </w:p>
    <w:p w:rsidR="00624F25" w:rsidRDefault="00624F25" w:rsidP="00624F25">
      <w:pPr>
        <w:pStyle w:val="ListParagraph"/>
        <w:numPr>
          <w:ilvl w:val="0"/>
          <w:numId w:val="22"/>
        </w:numPr>
        <w:spacing w:after="240" w:line="360" w:lineRule="auto"/>
        <w:jc w:val="both"/>
        <w:rPr>
          <w:sz w:val="24"/>
          <w:szCs w:val="24"/>
        </w:rPr>
      </w:pPr>
      <w:r>
        <w:rPr>
          <w:sz w:val="24"/>
          <w:szCs w:val="24"/>
        </w:rPr>
        <w:t>Admitting he lied at trial;</w:t>
      </w:r>
    </w:p>
    <w:p w:rsidR="00624F25" w:rsidRPr="00624F25" w:rsidRDefault="00624F25" w:rsidP="00624F25">
      <w:pPr>
        <w:pStyle w:val="ListParagraph"/>
        <w:spacing w:after="240" w:line="360" w:lineRule="auto"/>
        <w:jc w:val="both"/>
        <w:rPr>
          <w:sz w:val="16"/>
          <w:szCs w:val="16"/>
        </w:rPr>
      </w:pPr>
    </w:p>
    <w:p w:rsidR="00624F25" w:rsidRDefault="00624F25" w:rsidP="009B7EB9">
      <w:pPr>
        <w:pStyle w:val="ListParagraph"/>
        <w:numPr>
          <w:ilvl w:val="0"/>
          <w:numId w:val="22"/>
        </w:numPr>
        <w:spacing w:after="240" w:line="276" w:lineRule="auto"/>
        <w:jc w:val="both"/>
        <w:rPr>
          <w:sz w:val="24"/>
          <w:szCs w:val="24"/>
        </w:rPr>
      </w:pPr>
      <w:r>
        <w:rPr>
          <w:sz w:val="24"/>
          <w:szCs w:val="24"/>
        </w:rPr>
        <w:t>Naming the actual shooter as Arkie Bryant – the aforementioned “Leevale’s brother” and  now deceased;</w:t>
      </w:r>
    </w:p>
    <w:p w:rsidR="00624F25" w:rsidRPr="00624F25" w:rsidRDefault="00624F25" w:rsidP="00624F25">
      <w:pPr>
        <w:pStyle w:val="ListParagraph"/>
        <w:spacing w:after="240" w:line="360" w:lineRule="auto"/>
        <w:jc w:val="both"/>
        <w:rPr>
          <w:sz w:val="16"/>
          <w:szCs w:val="16"/>
        </w:rPr>
      </w:pPr>
    </w:p>
    <w:p w:rsidR="00624F25" w:rsidRDefault="00624F25" w:rsidP="00624F25">
      <w:pPr>
        <w:pStyle w:val="ListParagraph"/>
        <w:numPr>
          <w:ilvl w:val="0"/>
          <w:numId w:val="22"/>
        </w:numPr>
        <w:spacing w:after="240" w:line="360" w:lineRule="auto"/>
        <w:jc w:val="both"/>
        <w:rPr>
          <w:sz w:val="24"/>
          <w:szCs w:val="24"/>
        </w:rPr>
      </w:pPr>
      <w:r>
        <w:rPr>
          <w:sz w:val="24"/>
          <w:szCs w:val="24"/>
        </w:rPr>
        <w:t>Stating he was promised a no-jail-time deal by the prosecution;</w:t>
      </w:r>
    </w:p>
    <w:p w:rsidR="00624F25" w:rsidRPr="00624F25" w:rsidRDefault="00624F25" w:rsidP="00624F25">
      <w:pPr>
        <w:pStyle w:val="ListParagraph"/>
        <w:spacing w:after="240" w:line="360" w:lineRule="auto"/>
        <w:jc w:val="both"/>
        <w:rPr>
          <w:sz w:val="16"/>
          <w:szCs w:val="16"/>
        </w:rPr>
      </w:pPr>
    </w:p>
    <w:p w:rsidR="00624F25" w:rsidRDefault="00624F25" w:rsidP="00624F25">
      <w:pPr>
        <w:pStyle w:val="ListParagraph"/>
        <w:numPr>
          <w:ilvl w:val="0"/>
          <w:numId w:val="22"/>
        </w:numPr>
        <w:spacing w:after="240" w:line="360" w:lineRule="auto"/>
        <w:jc w:val="both"/>
        <w:rPr>
          <w:sz w:val="24"/>
          <w:szCs w:val="24"/>
        </w:rPr>
      </w:pPr>
      <w:r>
        <w:rPr>
          <w:sz w:val="24"/>
          <w:szCs w:val="24"/>
        </w:rPr>
        <w:t>Admitting his motive was to escape liability and that Petitioner was “not even at the scene.”</w:t>
      </w:r>
    </w:p>
    <w:p w:rsidR="00624F25" w:rsidRPr="00624F25" w:rsidRDefault="00624F25" w:rsidP="00624F25">
      <w:pPr>
        <w:pStyle w:val="ListParagraph"/>
        <w:rPr>
          <w:sz w:val="24"/>
          <w:szCs w:val="24"/>
        </w:rPr>
      </w:pPr>
    </w:p>
    <w:p w:rsidR="009B7EB9" w:rsidRDefault="00624F25" w:rsidP="009B7EB9">
      <w:pPr>
        <w:spacing w:line="360" w:lineRule="auto"/>
        <w:jc w:val="both"/>
        <w:rPr>
          <w:sz w:val="24"/>
          <w:szCs w:val="24"/>
        </w:rPr>
      </w:pPr>
      <w:r>
        <w:rPr>
          <w:sz w:val="24"/>
          <w:szCs w:val="24"/>
        </w:rPr>
        <w:lastRenderedPageBreak/>
        <w:t>This recantation, coupled with the suppressed interview audio, constitutes compelling proof of factual</w:t>
      </w:r>
      <w:r w:rsidR="002B2808">
        <w:rPr>
          <w:sz w:val="24"/>
          <w:szCs w:val="24"/>
        </w:rPr>
        <w:t xml:space="preserve"> and actual</w:t>
      </w:r>
      <w:r>
        <w:rPr>
          <w:sz w:val="24"/>
          <w:szCs w:val="24"/>
        </w:rPr>
        <w:t xml:space="preserve"> innocence that would likely result in an acquittal at retrial.</w:t>
      </w:r>
    </w:p>
    <w:p w:rsidR="002B2808" w:rsidRDefault="002B2808" w:rsidP="009B7EB9">
      <w:pPr>
        <w:spacing w:line="360" w:lineRule="auto"/>
        <w:jc w:val="both"/>
        <w:rPr>
          <w:sz w:val="24"/>
          <w:szCs w:val="24"/>
        </w:rPr>
      </w:pPr>
    </w:p>
    <w:p w:rsidR="00624F25" w:rsidRDefault="00624F25" w:rsidP="00624F25">
      <w:pPr>
        <w:pStyle w:val="ListParagraph"/>
        <w:numPr>
          <w:ilvl w:val="0"/>
          <w:numId w:val="21"/>
        </w:numPr>
        <w:spacing w:after="240" w:line="360" w:lineRule="auto"/>
        <w:jc w:val="both"/>
        <w:rPr>
          <w:b/>
          <w:sz w:val="24"/>
          <w:szCs w:val="24"/>
        </w:rPr>
      </w:pPr>
      <w:r>
        <w:rPr>
          <w:b/>
          <w:sz w:val="24"/>
          <w:szCs w:val="24"/>
        </w:rPr>
        <w:t>Extraordinary Circumstances Warrant Emergency Relief</w:t>
      </w:r>
    </w:p>
    <w:p w:rsidR="00624F25" w:rsidRDefault="00624F25" w:rsidP="00624F25">
      <w:pPr>
        <w:spacing w:after="240" w:line="360" w:lineRule="auto"/>
        <w:jc w:val="both"/>
        <w:rPr>
          <w:sz w:val="24"/>
          <w:szCs w:val="24"/>
        </w:rPr>
      </w:pPr>
      <w:r>
        <w:rPr>
          <w:sz w:val="24"/>
          <w:szCs w:val="24"/>
        </w:rPr>
        <w:tab/>
        <w:t>Petitioner has served over two decades in prison for a crime he did not commit, with no physical or forensic evidence ever linking him to the crime. His wrongful conviction was based solely on the word of men who:</w:t>
      </w:r>
    </w:p>
    <w:p w:rsidR="00624F25" w:rsidRDefault="004A0B76" w:rsidP="00624F25">
      <w:pPr>
        <w:pStyle w:val="ListParagraph"/>
        <w:numPr>
          <w:ilvl w:val="0"/>
          <w:numId w:val="23"/>
        </w:numPr>
        <w:spacing w:after="240" w:line="360" w:lineRule="auto"/>
        <w:jc w:val="both"/>
        <w:rPr>
          <w:sz w:val="24"/>
          <w:szCs w:val="24"/>
        </w:rPr>
      </w:pPr>
      <w:r>
        <w:rPr>
          <w:sz w:val="24"/>
          <w:szCs w:val="24"/>
        </w:rPr>
        <w:t>Admitted their own guilt;</w:t>
      </w:r>
    </w:p>
    <w:p w:rsidR="004A0B76" w:rsidRPr="004A0B76" w:rsidRDefault="004A0B76" w:rsidP="004A0B76">
      <w:pPr>
        <w:pStyle w:val="ListParagraph"/>
        <w:spacing w:after="240" w:line="360" w:lineRule="auto"/>
        <w:jc w:val="both"/>
        <w:rPr>
          <w:sz w:val="16"/>
          <w:szCs w:val="16"/>
        </w:rPr>
      </w:pPr>
    </w:p>
    <w:p w:rsidR="004A0B76" w:rsidRDefault="004A0B76" w:rsidP="00624F25">
      <w:pPr>
        <w:pStyle w:val="ListParagraph"/>
        <w:numPr>
          <w:ilvl w:val="0"/>
          <w:numId w:val="23"/>
        </w:numPr>
        <w:spacing w:after="240" w:line="360" w:lineRule="auto"/>
        <w:jc w:val="both"/>
        <w:rPr>
          <w:sz w:val="24"/>
          <w:szCs w:val="24"/>
        </w:rPr>
      </w:pPr>
      <w:r>
        <w:rPr>
          <w:sz w:val="24"/>
          <w:szCs w:val="24"/>
        </w:rPr>
        <w:t>Received sweetheart deals (Talley served zero additional time);</w:t>
      </w:r>
    </w:p>
    <w:p w:rsidR="004A0B76" w:rsidRPr="004A0B76" w:rsidRDefault="004A0B76" w:rsidP="004A0B76">
      <w:pPr>
        <w:pStyle w:val="ListParagraph"/>
        <w:spacing w:after="240" w:line="360" w:lineRule="auto"/>
        <w:jc w:val="both"/>
        <w:rPr>
          <w:sz w:val="16"/>
          <w:szCs w:val="16"/>
        </w:rPr>
      </w:pPr>
    </w:p>
    <w:p w:rsidR="004A0B76" w:rsidRDefault="004A0B76" w:rsidP="00624F25">
      <w:pPr>
        <w:pStyle w:val="ListParagraph"/>
        <w:numPr>
          <w:ilvl w:val="0"/>
          <w:numId w:val="23"/>
        </w:numPr>
        <w:spacing w:after="240" w:line="360" w:lineRule="auto"/>
        <w:jc w:val="both"/>
        <w:rPr>
          <w:sz w:val="24"/>
          <w:szCs w:val="24"/>
        </w:rPr>
      </w:pPr>
      <w:r>
        <w:rPr>
          <w:sz w:val="24"/>
          <w:szCs w:val="24"/>
        </w:rPr>
        <w:t>Were actively coached and rewarded by the prosecution.</w:t>
      </w:r>
    </w:p>
    <w:p w:rsidR="004A0B76" w:rsidRPr="004A0B76" w:rsidRDefault="004A0B76" w:rsidP="004A0B76">
      <w:pPr>
        <w:pStyle w:val="ListParagraph"/>
        <w:rPr>
          <w:sz w:val="24"/>
          <w:szCs w:val="24"/>
        </w:rPr>
      </w:pPr>
    </w:p>
    <w:p w:rsidR="004A0B76" w:rsidRDefault="004A0B76" w:rsidP="004A0B76">
      <w:pPr>
        <w:spacing w:after="240" w:line="360" w:lineRule="auto"/>
        <w:jc w:val="both"/>
        <w:rPr>
          <w:sz w:val="24"/>
          <w:szCs w:val="24"/>
        </w:rPr>
      </w:pPr>
      <w:r>
        <w:rPr>
          <w:sz w:val="24"/>
          <w:szCs w:val="24"/>
        </w:rPr>
        <w:tab/>
        <w:t>In contrast, Petitioner has consistently maintained his innocence, and, in desperation, once petitioned the Tennessee and United States Supreme Courts – and even this very Court – to be euthanized rather than spend the rest of his life wrongfully incarcerated.</w:t>
      </w:r>
    </w:p>
    <w:p w:rsidR="004A0B76" w:rsidRDefault="004A0B76" w:rsidP="009B7EB9">
      <w:pPr>
        <w:spacing w:line="360" w:lineRule="auto"/>
        <w:jc w:val="both"/>
        <w:rPr>
          <w:sz w:val="24"/>
          <w:szCs w:val="24"/>
        </w:rPr>
      </w:pPr>
      <w:r>
        <w:rPr>
          <w:sz w:val="24"/>
          <w:szCs w:val="24"/>
        </w:rPr>
        <w:tab/>
        <w:t xml:space="preserve">The injustice is ongoing. Petitioner’s state postconviction and error coram nobis petitions were recently denied by Criminal Court Division V Judge Khadija Babb on July 11, 2025 claiming Petitioner had access to and/or should have discovered the </w:t>
      </w:r>
      <w:r w:rsidRPr="004A0B76">
        <w:rPr>
          <w:i/>
          <w:sz w:val="24"/>
          <w:szCs w:val="24"/>
        </w:rPr>
        <w:t>State’s own buried evidence</w:t>
      </w:r>
      <w:r>
        <w:rPr>
          <w:sz w:val="24"/>
          <w:szCs w:val="24"/>
        </w:rPr>
        <w:t xml:space="preserve"> decades earlier – a ruling that </w:t>
      </w:r>
      <w:r w:rsidRPr="004A0B76">
        <w:rPr>
          <w:i/>
          <w:sz w:val="24"/>
          <w:szCs w:val="24"/>
        </w:rPr>
        <w:t>defies logic and law</w:t>
      </w:r>
      <w:r>
        <w:rPr>
          <w:sz w:val="24"/>
          <w:szCs w:val="24"/>
        </w:rPr>
        <w:t>.</w:t>
      </w:r>
    </w:p>
    <w:p w:rsidR="009B7EB9" w:rsidRPr="009B7EB9" w:rsidRDefault="009B7EB9" w:rsidP="004A0B76">
      <w:pPr>
        <w:spacing w:after="240" w:line="360" w:lineRule="auto"/>
        <w:jc w:val="both"/>
        <w:rPr>
          <w:sz w:val="16"/>
          <w:szCs w:val="16"/>
        </w:rPr>
      </w:pPr>
    </w:p>
    <w:p w:rsidR="004A0B76" w:rsidRDefault="004A0B76" w:rsidP="004A0B76">
      <w:pPr>
        <w:pStyle w:val="ListParagraph"/>
        <w:numPr>
          <w:ilvl w:val="0"/>
          <w:numId w:val="21"/>
        </w:numPr>
        <w:spacing w:after="240" w:line="360" w:lineRule="auto"/>
        <w:jc w:val="both"/>
        <w:rPr>
          <w:b/>
          <w:sz w:val="24"/>
          <w:szCs w:val="24"/>
        </w:rPr>
      </w:pPr>
      <w:r>
        <w:rPr>
          <w:b/>
          <w:sz w:val="24"/>
          <w:szCs w:val="24"/>
        </w:rPr>
        <w:t>Petitioner Is Not a Danger to the Community or a Flight Risk</w:t>
      </w:r>
    </w:p>
    <w:p w:rsidR="004A0B76" w:rsidRDefault="004A0B76" w:rsidP="004A0B76">
      <w:pPr>
        <w:spacing w:after="240" w:line="360" w:lineRule="auto"/>
        <w:jc w:val="both"/>
        <w:rPr>
          <w:sz w:val="24"/>
          <w:szCs w:val="24"/>
        </w:rPr>
      </w:pPr>
      <w:r>
        <w:rPr>
          <w:sz w:val="24"/>
          <w:szCs w:val="24"/>
        </w:rPr>
        <w:tab/>
        <w:t>At the time of the 1999 murder, Petitioner was:</w:t>
      </w:r>
    </w:p>
    <w:p w:rsidR="004A0B76" w:rsidRDefault="004A0B76" w:rsidP="004A0B76">
      <w:pPr>
        <w:pStyle w:val="ListParagraph"/>
        <w:numPr>
          <w:ilvl w:val="0"/>
          <w:numId w:val="24"/>
        </w:numPr>
        <w:spacing w:after="240" w:line="360" w:lineRule="auto"/>
        <w:jc w:val="both"/>
        <w:rPr>
          <w:sz w:val="24"/>
          <w:szCs w:val="24"/>
        </w:rPr>
      </w:pPr>
      <w:r>
        <w:rPr>
          <w:sz w:val="24"/>
          <w:szCs w:val="24"/>
        </w:rPr>
        <w:t>A college student at Fisk University.</w:t>
      </w:r>
    </w:p>
    <w:p w:rsidR="009B7EB9" w:rsidRPr="009B7EB9" w:rsidRDefault="009B7EB9" w:rsidP="009B7EB9">
      <w:pPr>
        <w:pStyle w:val="ListParagraph"/>
        <w:spacing w:after="240" w:line="360" w:lineRule="auto"/>
        <w:jc w:val="both"/>
        <w:rPr>
          <w:sz w:val="16"/>
          <w:szCs w:val="16"/>
        </w:rPr>
      </w:pPr>
    </w:p>
    <w:p w:rsidR="004A0B76" w:rsidRDefault="004A0B76" w:rsidP="004A0B76">
      <w:pPr>
        <w:pStyle w:val="ListParagraph"/>
        <w:numPr>
          <w:ilvl w:val="0"/>
          <w:numId w:val="24"/>
        </w:numPr>
        <w:spacing w:after="240" w:line="360" w:lineRule="auto"/>
        <w:jc w:val="both"/>
        <w:rPr>
          <w:sz w:val="24"/>
          <w:szCs w:val="24"/>
        </w:rPr>
      </w:pPr>
      <w:r>
        <w:rPr>
          <w:sz w:val="24"/>
          <w:szCs w:val="24"/>
        </w:rPr>
        <w:t>At a motel with his young son and son’s mother – an alibi previously ignored.</w:t>
      </w:r>
    </w:p>
    <w:p w:rsidR="009B7EB9" w:rsidRPr="009B7EB9" w:rsidRDefault="009B7EB9" w:rsidP="009B7EB9">
      <w:pPr>
        <w:pStyle w:val="ListParagraph"/>
        <w:spacing w:after="240" w:line="360" w:lineRule="auto"/>
        <w:jc w:val="both"/>
        <w:rPr>
          <w:sz w:val="16"/>
          <w:szCs w:val="16"/>
        </w:rPr>
      </w:pPr>
    </w:p>
    <w:p w:rsidR="004A0B76" w:rsidRDefault="004A0B76" w:rsidP="004A0B76">
      <w:pPr>
        <w:pStyle w:val="ListParagraph"/>
        <w:numPr>
          <w:ilvl w:val="0"/>
          <w:numId w:val="24"/>
        </w:numPr>
        <w:spacing w:after="240" w:line="360" w:lineRule="auto"/>
        <w:jc w:val="both"/>
        <w:rPr>
          <w:sz w:val="24"/>
          <w:szCs w:val="24"/>
        </w:rPr>
      </w:pPr>
      <w:r>
        <w:rPr>
          <w:sz w:val="24"/>
          <w:szCs w:val="24"/>
        </w:rPr>
        <w:t>Not identified by any eyewitness.</w:t>
      </w:r>
    </w:p>
    <w:p w:rsidR="009B7EB9" w:rsidRPr="009B7EB9" w:rsidRDefault="009B7EB9" w:rsidP="009B7EB9">
      <w:pPr>
        <w:pStyle w:val="ListParagraph"/>
        <w:spacing w:after="240" w:line="360" w:lineRule="auto"/>
        <w:jc w:val="both"/>
        <w:rPr>
          <w:sz w:val="16"/>
          <w:szCs w:val="16"/>
        </w:rPr>
      </w:pPr>
    </w:p>
    <w:p w:rsidR="009B7EB9" w:rsidRDefault="004A0B76" w:rsidP="00F616AB">
      <w:pPr>
        <w:pStyle w:val="ListParagraph"/>
        <w:numPr>
          <w:ilvl w:val="0"/>
          <w:numId w:val="24"/>
        </w:numPr>
        <w:spacing w:after="240" w:line="276" w:lineRule="auto"/>
        <w:jc w:val="both"/>
        <w:rPr>
          <w:sz w:val="24"/>
          <w:szCs w:val="24"/>
        </w:rPr>
      </w:pPr>
      <w:r>
        <w:rPr>
          <w:sz w:val="24"/>
          <w:szCs w:val="24"/>
        </w:rPr>
        <w:lastRenderedPageBreak/>
        <w:t xml:space="preserve">Convicted without physical evidence, and on </w:t>
      </w:r>
      <w:r w:rsidR="00F616AB">
        <w:rPr>
          <w:sz w:val="24"/>
          <w:szCs w:val="24"/>
        </w:rPr>
        <w:t xml:space="preserve">uncorroborated </w:t>
      </w:r>
      <w:r>
        <w:rPr>
          <w:sz w:val="24"/>
          <w:szCs w:val="24"/>
        </w:rPr>
        <w:t xml:space="preserve">testimony </w:t>
      </w:r>
      <w:r w:rsidR="009B7EB9">
        <w:rPr>
          <w:sz w:val="24"/>
          <w:szCs w:val="24"/>
        </w:rPr>
        <w:t xml:space="preserve">since </w:t>
      </w:r>
      <w:r>
        <w:rPr>
          <w:sz w:val="24"/>
          <w:szCs w:val="24"/>
        </w:rPr>
        <w:t>full</w:t>
      </w:r>
      <w:r w:rsidR="009B7EB9">
        <w:rPr>
          <w:sz w:val="24"/>
          <w:szCs w:val="24"/>
        </w:rPr>
        <w:t>y recanted.</w:t>
      </w:r>
    </w:p>
    <w:p w:rsidR="009B7EB9" w:rsidRPr="009B7EB9" w:rsidRDefault="009B7EB9" w:rsidP="009B7EB9">
      <w:pPr>
        <w:pStyle w:val="ListParagraph"/>
        <w:rPr>
          <w:sz w:val="24"/>
          <w:szCs w:val="24"/>
        </w:rPr>
      </w:pPr>
    </w:p>
    <w:p w:rsidR="009B7EB9" w:rsidRDefault="009B7EB9" w:rsidP="009B7EB9">
      <w:pPr>
        <w:spacing w:after="240" w:line="360" w:lineRule="auto"/>
        <w:jc w:val="both"/>
        <w:rPr>
          <w:sz w:val="24"/>
          <w:szCs w:val="24"/>
        </w:rPr>
      </w:pPr>
      <w:r>
        <w:rPr>
          <w:sz w:val="24"/>
          <w:szCs w:val="24"/>
        </w:rPr>
        <w:t>Today, Petitioner has:</w:t>
      </w:r>
    </w:p>
    <w:p w:rsidR="009B7EB9" w:rsidRDefault="009B7EB9" w:rsidP="009B7EB9">
      <w:pPr>
        <w:pStyle w:val="ListParagraph"/>
        <w:numPr>
          <w:ilvl w:val="0"/>
          <w:numId w:val="25"/>
        </w:numPr>
        <w:spacing w:after="240" w:line="360" w:lineRule="auto"/>
        <w:jc w:val="both"/>
        <w:rPr>
          <w:sz w:val="24"/>
          <w:szCs w:val="24"/>
        </w:rPr>
      </w:pPr>
      <w:r>
        <w:rPr>
          <w:sz w:val="24"/>
          <w:szCs w:val="24"/>
        </w:rPr>
        <w:t>Community and media support;</w:t>
      </w:r>
    </w:p>
    <w:p w:rsidR="009B7EB9" w:rsidRPr="009B7EB9" w:rsidRDefault="009B7EB9" w:rsidP="009B7EB9">
      <w:pPr>
        <w:pStyle w:val="ListParagraph"/>
        <w:spacing w:after="240" w:line="360" w:lineRule="auto"/>
        <w:jc w:val="both"/>
        <w:rPr>
          <w:sz w:val="16"/>
          <w:szCs w:val="16"/>
        </w:rPr>
      </w:pPr>
    </w:p>
    <w:p w:rsidR="009B7EB9" w:rsidRDefault="009B7EB9" w:rsidP="009B7EB9">
      <w:pPr>
        <w:pStyle w:val="ListParagraph"/>
        <w:numPr>
          <w:ilvl w:val="0"/>
          <w:numId w:val="25"/>
        </w:numPr>
        <w:spacing w:after="240" w:line="360" w:lineRule="auto"/>
        <w:jc w:val="both"/>
        <w:rPr>
          <w:sz w:val="24"/>
          <w:szCs w:val="24"/>
        </w:rPr>
      </w:pPr>
      <w:r>
        <w:rPr>
          <w:sz w:val="24"/>
          <w:szCs w:val="24"/>
        </w:rPr>
        <w:t>No history or escape or violence while incarcerated;</w:t>
      </w:r>
    </w:p>
    <w:p w:rsidR="009B7EB9" w:rsidRPr="009B7EB9" w:rsidRDefault="009B7EB9" w:rsidP="009B7EB9">
      <w:pPr>
        <w:pStyle w:val="ListParagraph"/>
        <w:spacing w:after="240" w:line="360" w:lineRule="auto"/>
        <w:jc w:val="both"/>
        <w:rPr>
          <w:sz w:val="16"/>
          <w:szCs w:val="16"/>
        </w:rPr>
      </w:pPr>
    </w:p>
    <w:p w:rsidR="009B7EB9" w:rsidRDefault="009B7EB9" w:rsidP="009B7EB9">
      <w:pPr>
        <w:pStyle w:val="ListParagraph"/>
        <w:numPr>
          <w:ilvl w:val="0"/>
          <w:numId w:val="25"/>
        </w:numPr>
        <w:spacing w:after="240" w:line="360" w:lineRule="auto"/>
        <w:jc w:val="both"/>
        <w:rPr>
          <w:sz w:val="24"/>
          <w:szCs w:val="24"/>
        </w:rPr>
      </w:pPr>
      <w:r>
        <w:rPr>
          <w:sz w:val="24"/>
          <w:szCs w:val="24"/>
        </w:rPr>
        <w:t>A track record of perseverance in proving his innocence;</w:t>
      </w:r>
    </w:p>
    <w:p w:rsidR="009B7EB9" w:rsidRPr="009B7EB9" w:rsidRDefault="009B7EB9" w:rsidP="009B7EB9">
      <w:pPr>
        <w:pStyle w:val="ListParagraph"/>
        <w:spacing w:after="240" w:line="360" w:lineRule="auto"/>
        <w:jc w:val="both"/>
        <w:rPr>
          <w:sz w:val="16"/>
          <w:szCs w:val="16"/>
        </w:rPr>
      </w:pPr>
    </w:p>
    <w:p w:rsidR="009B7EB9" w:rsidRDefault="009B7EB9" w:rsidP="00F616AB">
      <w:pPr>
        <w:pStyle w:val="ListParagraph"/>
        <w:numPr>
          <w:ilvl w:val="0"/>
          <w:numId w:val="25"/>
        </w:numPr>
        <w:spacing w:after="240" w:line="276" w:lineRule="auto"/>
        <w:jc w:val="both"/>
        <w:rPr>
          <w:sz w:val="24"/>
          <w:szCs w:val="24"/>
        </w:rPr>
      </w:pPr>
      <w:r>
        <w:rPr>
          <w:sz w:val="24"/>
          <w:szCs w:val="24"/>
        </w:rPr>
        <w:t>Certificates and certified hours in violence reduction, anger management, mediation &amp; conflict transformation, along with trades such as culinary arts;</w:t>
      </w:r>
    </w:p>
    <w:p w:rsidR="009B7EB9" w:rsidRPr="009B7EB9" w:rsidRDefault="009B7EB9" w:rsidP="009B7EB9">
      <w:pPr>
        <w:pStyle w:val="ListParagraph"/>
        <w:spacing w:after="240" w:line="360" w:lineRule="auto"/>
        <w:jc w:val="both"/>
        <w:rPr>
          <w:sz w:val="16"/>
          <w:szCs w:val="16"/>
        </w:rPr>
      </w:pPr>
    </w:p>
    <w:p w:rsidR="009B7EB9" w:rsidRDefault="009B7EB9" w:rsidP="009B7EB9">
      <w:pPr>
        <w:pStyle w:val="ListParagraph"/>
        <w:numPr>
          <w:ilvl w:val="0"/>
          <w:numId w:val="25"/>
        </w:numPr>
        <w:spacing w:after="240" w:line="360" w:lineRule="auto"/>
        <w:jc w:val="both"/>
        <w:rPr>
          <w:sz w:val="24"/>
          <w:szCs w:val="24"/>
        </w:rPr>
      </w:pPr>
      <w:r>
        <w:rPr>
          <w:sz w:val="24"/>
          <w:szCs w:val="24"/>
        </w:rPr>
        <w:t>Petitioner is also a published author with more books soon to be published.</w:t>
      </w:r>
    </w:p>
    <w:p w:rsidR="009B7EB9" w:rsidRPr="009B7EB9" w:rsidRDefault="009B7EB9" w:rsidP="009B7EB9">
      <w:pPr>
        <w:pStyle w:val="ListParagraph"/>
        <w:rPr>
          <w:sz w:val="24"/>
          <w:szCs w:val="24"/>
        </w:rPr>
      </w:pPr>
    </w:p>
    <w:p w:rsidR="009B7EB9" w:rsidRDefault="009B7EB9" w:rsidP="009B7EB9">
      <w:pPr>
        <w:spacing w:after="240" w:line="360" w:lineRule="auto"/>
        <w:jc w:val="both"/>
        <w:rPr>
          <w:sz w:val="24"/>
          <w:szCs w:val="24"/>
        </w:rPr>
      </w:pPr>
      <w:r>
        <w:rPr>
          <w:sz w:val="24"/>
          <w:szCs w:val="24"/>
        </w:rPr>
        <w:t>Release under supervision or home confinement would adequately protect the public and allow Petitioner to assist possible counsel in fully litigating this case and further proving Petitioner’s innocence.</w:t>
      </w:r>
    </w:p>
    <w:p w:rsidR="009B7EB9" w:rsidRDefault="009B7EB9" w:rsidP="009B7EB9">
      <w:pPr>
        <w:spacing w:after="240" w:line="360" w:lineRule="auto"/>
        <w:jc w:val="center"/>
        <w:rPr>
          <w:b/>
          <w:sz w:val="24"/>
          <w:szCs w:val="24"/>
        </w:rPr>
      </w:pPr>
      <w:r>
        <w:rPr>
          <w:b/>
          <w:sz w:val="24"/>
          <w:szCs w:val="24"/>
        </w:rPr>
        <w:t>CONCLUSION</w:t>
      </w:r>
    </w:p>
    <w:p w:rsidR="009B7EB9" w:rsidRDefault="009B7EB9" w:rsidP="009B7EB9">
      <w:pPr>
        <w:spacing w:after="240" w:line="360" w:lineRule="auto"/>
        <w:jc w:val="both"/>
        <w:rPr>
          <w:sz w:val="24"/>
          <w:szCs w:val="24"/>
        </w:rPr>
      </w:pPr>
      <w:r>
        <w:rPr>
          <w:sz w:val="24"/>
          <w:szCs w:val="24"/>
        </w:rPr>
        <w:tab/>
        <w:t>Petitioner is not asking for final judgment in this motion – only for the opportunity to fight for his freedom from outside the walls of a wrongful conviction. The Court has the equitable power and legal authority to grant release in light of:</w:t>
      </w:r>
    </w:p>
    <w:p w:rsidR="009B7EB9" w:rsidRDefault="009B7EB9" w:rsidP="009B7EB9">
      <w:pPr>
        <w:pStyle w:val="ListParagraph"/>
        <w:numPr>
          <w:ilvl w:val="0"/>
          <w:numId w:val="26"/>
        </w:numPr>
        <w:spacing w:after="240" w:line="360" w:lineRule="auto"/>
        <w:jc w:val="both"/>
        <w:rPr>
          <w:sz w:val="24"/>
          <w:szCs w:val="24"/>
        </w:rPr>
      </w:pPr>
      <w:r>
        <w:rPr>
          <w:sz w:val="24"/>
          <w:szCs w:val="24"/>
        </w:rPr>
        <w:t xml:space="preserve">New </w:t>
      </w:r>
      <w:r w:rsidR="00F616AB">
        <w:rPr>
          <w:sz w:val="24"/>
          <w:szCs w:val="24"/>
        </w:rPr>
        <w:t xml:space="preserve">and strong </w:t>
      </w:r>
      <w:r>
        <w:rPr>
          <w:sz w:val="24"/>
          <w:szCs w:val="24"/>
        </w:rPr>
        <w:t>evidence of innocence;</w:t>
      </w:r>
    </w:p>
    <w:p w:rsidR="009B7EB9" w:rsidRPr="00F616AB" w:rsidRDefault="009B7EB9" w:rsidP="009B7EB9">
      <w:pPr>
        <w:pStyle w:val="ListParagraph"/>
        <w:spacing w:after="240" w:line="360" w:lineRule="auto"/>
        <w:jc w:val="both"/>
        <w:rPr>
          <w:sz w:val="16"/>
          <w:szCs w:val="16"/>
        </w:rPr>
      </w:pPr>
    </w:p>
    <w:p w:rsidR="009B7EB9" w:rsidRDefault="009B7EB9" w:rsidP="009B7EB9">
      <w:pPr>
        <w:pStyle w:val="ListParagraph"/>
        <w:numPr>
          <w:ilvl w:val="0"/>
          <w:numId w:val="26"/>
        </w:numPr>
        <w:spacing w:after="240" w:line="360" w:lineRule="auto"/>
        <w:jc w:val="both"/>
        <w:rPr>
          <w:sz w:val="24"/>
          <w:szCs w:val="24"/>
        </w:rPr>
      </w:pPr>
      <w:r w:rsidRPr="00F616AB">
        <w:rPr>
          <w:i/>
          <w:sz w:val="24"/>
          <w:szCs w:val="24"/>
        </w:rPr>
        <w:t>Brady</w:t>
      </w:r>
      <w:r w:rsidR="00F616AB">
        <w:rPr>
          <w:sz w:val="24"/>
          <w:szCs w:val="24"/>
        </w:rPr>
        <w:t>,</w:t>
      </w:r>
      <w:r>
        <w:rPr>
          <w:sz w:val="24"/>
          <w:szCs w:val="24"/>
        </w:rPr>
        <w:t xml:space="preserve"> </w:t>
      </w:r>
      <w:r w:rsidRPr="00F616AB">
        <w:rPr>
          <w:i/>
          <w:sz w:val="24"/>
          <w:szCs w:val="24"/>
        </w:rPr>
        <w:t>Giglio</w:t>
      </w:r>
      <w:r w:rsidR="00F616AB">
        <w:rPr>
          <w:i/>
          <w:sz w:val="24"/>
          <w:szCs w:val="24"/>
        </w:rPr>
        <w:t xml:space="preserve">, Kyles, Agurs, Bagley, </w:t>
      </w:r>
      <w:r w:rsidR="00F616AB" w:rsidRPr="00F616AB">
        <w:rPr>
          <w:sz w:val="24"/>
          <w:szCs w:val="24"/>
        </w:rPr>
        <w:t>and</w:t>
      </w:r>
      <w:r w:rsidR="00F616AB">
        <w:rPr>
          <w:i/>
          <w:sz w:val="24"/>
          <w:szCs w:val="24"/>
        </w:rPr>
        <w:t xml:space="preserve"> Napue</w:t>
      </w:r>
      <w:r>
        <w:rPr>
          <w:sz w:val="24"/>
          <w:szCs w:val="24"/>
        </w:rPr>
        <w:t xml:space="preserve"> violations; and</w:t>
      </w:r>
    </w:p>
    <w:p w:rsidR="00F616AB" w:rsidRPr="00F616AB" w:rsidRDefault="00F616AB" w:rsidP="00F616AB">
      <w:pPr>
        <w:pStyle w:val="ListParagraph"/>
        <w:spacing w:after="240" w:line="360" w:lineRule="auto"/>
        <w:jc w:val="both"/>
        <w:rPr>
          <w:sz w:val="16"/>
          <w:szCs w:val="16"/>
        </w:rPr>
      </w:pPr>
    </w:p>
    <w:p w:rsidR="009B7EB9" w:rsidRDefault="009B7EB9" w:rsidP="009B7EB9">
      <w:pPr>
        <w:pStyle w:val="ListParagraph"/>
        <w:numPr>
          <w:ilvl w:val="0"/>
          <w:numId w:val="26"/>
        </w:numPr>
        <w:spacing w:after="240" w:line="360" w:lineRule="auto"/>
        <w:jc w:val="both"/>
        <w:rPr>
          <w:sz w:val="24"/>
          <w:szCs w:val="24"/>
        </w:rPr>
      </w:pPr>
      <w:r>
        <w:rPr>
          <w:sz w:val="24"/>
          <w:szCs w:val="24"/>
        </w:rPr>
        <w:t>Ongoing state misconduct.</w:t>
      </w:r>
    </w:p>
    <w:p w:rsidR="00F616AB" w:rsidRDefault="00F616AB" w:rsidP="00F616AB">
      <w:pPr>
        <w:pStyle w:val="ListParagraph"/>
        <w:spacing w:after="240" w:line="360" w:lineRule="auto"/>
        <w:jc w:val="both"/>
        <w:rPr>
          <w:sz w:val="24"/>
          <w:szCs w:val="24"/>
        </w:rPr>
      </w:pPr>
    </w:p>
    <w:p w:rsidR="00F616AB" w:rsidRDefault="00F616AB" w:rsidP="00F616AB">
      <w:pPr>
        <w:spacing w:after="240" w:line="360" w:lineRule="auto"/>
        <w:jc w:val="both"/>
        <w:rPr>
          <w:sz w:val="24"/>
          <w:szCs w:val="24"/>
        </w:rPr>
      </w:pPr>
      <w:r w:rsidRPr="00F616AB">
        <w:rPr>
          <w:b/>
          <w:sz w:val="24"/>
          <w:szCs w:val="24"/>
        </w:rPr>
        <w:t>WHEREFORE</w:t>
      </w:r>
      <w:r>
        <w:rPr>
          <w:sz w:val="24"/>
          <w:szCs w:val="24"/>
        </w:rPr>
        <w:t>, Petitioner respectfully prays this Honorable Court:</w:t>
      </w:r>
    </w:p>
    <w:p w:rsidR="00F616AB" w:rsidRDefault="00F616AB" w:rsidP="00F616AB">
      <w:pPr>
        <w:pStyle w:val="ListParagraph"/>
        <w:numPr>
          <w:ilvl w:val="0"/>
          <w:numId w:val="27"/>
        </w:numPr>
        <w:spacing w:after="240" w:line="360" w:lineRule="auto"/>
        <w:jc w:val="both"/>
        <w:rPr>
          <w:sz w:val="24"/>
          <w:szCs w:val="24"/>
        </w:rPr>
      </w:pPr>
      <w:r>
        <w:rPr>
          <w:sz w:val="24"/>
          <w:szCs w:val="24"/>
        </w:rPr>
        <w:t>Grant this motion and order his immediate release on bond, under appropriate conditions;</w:t>
      </w:r>
    </w:p>
    <w:p w:rsidR="00F616AB" w:rsidRPr="00F616AB" w:rsidRDefault="00F616AB" w:rsidP="00F616AB">
      <w:pPr>
        <w:pStyle w:val="ListParagraph"/>
        <w:spacing w:after="240" w:line="360" w:lineRule="auto"/>
        <w:jc w:val="both"/>
        <w:rPr>
          <w:sz w:val="16"/>
          <w:szCs w:val="16"/>
        </w:rPr>
      </w:pPr>
    </w:p>
    <w:p w:rsidR="00F616AB" w:rsidRDefault="00F616AB" w:rsidP="00F616AB">
      <w:pPr>
        <w:pStyle w:val="ListParagraph"/>
        <w:numPr>
          <w:ilvl w:val="0"/>
          <w:numId w:val="27"/>
        </w:numPr>
        <w:spacing w:after="240" w:line="360" w:lineRule="auto"/>
        <w:jc w:val="both"/>
        <w:rPr>
          <w:sz w:val="24"/>
          <w:szCs w:val="24"/>
        </w:rPr>
      </w:pPr>
      <w:r>
        <w:rPr>
          <w:sz w:val="24"/>
          <w:szCs w:val="24"/>
        </w:rPr>
        <w:t>Schedule a prompt status hearing or allow for briefing if required;</w:t>
      </w:r>
    </w:p>
    <w:p w:rsidR="00F616AB" w:rsidRPr="00F616AB" w:rsidRDefault="00F616AB" w:rsidP="00F616AB">
      <w:pPr>
        <w:pStyle w:val="ListParagraph"/>
        <w:spacing w:after="240" w:line="360" w:lineRule="auto"/>
        <w:jc w:val="both"/>
        <w:rPr>
          <w:sz w:val="16"/>
          <w:szCs w:val="16"/>
        </w:rPr>
      </w:pPr>
    </w:p>
    <w:p w:rsidR="00F616AB" w:rsidRPr="00F616AB" w:rsidRDefault="00F616AB" w:rsidP="00F616AB">
      <w:pPr>
        <w:pStyle w:val="ListParagraph"/>
        <w:numPr>
          <w:ilvl w:val="0"/>
          <w:numId w:val="27"/>
        </w:numPr>
        <w:spacing w:after="240" w:line="360" w:lineRule="auto"/>
        <w:jc w:val="both"/>
        <w:rPr>
          <w:sz w:val="24"/>
          <w:szCs w:val="24"/>
        </w:rPr>
      </w:pPr>
      <w:r>
        <w:rPr>
          <w:sz w:val="24"/>
          <w:szCs w:val="24"/>
        </w:rPr>
        <w:t>Provide any further relief the Court deems just and appropriate.</w:t>
      </w:r>
    </w:p>
    <w:p w:rsidR="00F616AB" w:rsidRDefault="002B155B" w:rsidP="00A07DD2">
      <w:pPr>
        <w:pStyle w:val="ListParagraph"/>
        <w:spacing w:line="360" w:lineRule="auto"/>
        <w:ind w:left="1080"/>
        <w:jc w:val="center"/>
        <w:rPr>
          <w:b/>
          <w:sz w:val="24"/>
          <w:szCs w:val="24"/>
        </w:rPr>
      </w:pPr>
      <w:r>
        <w:rPr>
          <w:b/>
          <w:sz w:val="24"/>
          <w:szCs w:val="24"/>
        </w:rPr>
        <w:tab/>
      </w:r>
    </w:p>
    <w:p w:rsidR="002B2808" w:rsidRDefault="002B2808" w:rsidP="00A07DD2">
      <w:pPr>
        <w:pStyle w:val="ListParagraph"/>
        <w:spacing w:line="360" w:lineRule="auto"/>
        <w:ind w:left="1080"/>
        <w:jc w:val="center"/>
        <w:rPr>
          <w:b/>
          <w:sz w:val="24"/>
          <w:szCs w:val="24"/>
        </w:rPr>
      </w:pPr>
    </w:p>
    <w:p w:rsidR="002B155B" w:rsidRDefault="002B155B" w:rsidP="002B155B">
      <w:pPr>
        <w:spacing w:line="36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Respectfully submitted,</w:t>
      </w:r>
    </w:p>
    <w:p w:rsidR="002B155B" w:rsidRDefault="002B155B" w:rsidP="002B155B">
      <w:pPr>
        <w:spacing w:line="360" w:lineRule="auto"/>
        <w:jc w:val="both"/>
        <w:rPr>
          <w:sz w:val="24"/>
          <w:szCs w:val="24"/>
        </w:rPr>
      </w:pPr>
    </w:p>
    <w:p w:rsidR="002B2808" w:rsidRDefault="002B2808" w:rsidP="002B155B">
      <w:pPr>
        <w:spacing w:line="360" w:lineRule="auto"/>
        <w:jc w:val="both"/>
        <w:rPr>
          <w:sz w:val="24"/>
          <w:szCs w:val="24"/>
        </w:rPr>
      </w:pPr>
    </w:p>
    <w:p w:rsidR="002B155B" w:rsidRDefault="002B155B" w:rsidP="002B155B">
      <w:pPr>
        <w:pStyle w:val="ListParagraph"/>
        <w:spacing w:line="276" w:lineRule="auto"/>
        <w:ind w:left="0"/>
        <w:rPr>
          <w:sz w:val="24"/>
          <w:szCs w:val="24"/>
        </w:rPr>
      </w:pPr>
      <w:r>
        <w:rPr>
          <w:b/>
          <w:sz w:val="24"/>
          <w:szCs w:val="24"/>
        </w:rPr>
        <w:tab/>
      </w:r>
      <w:r>
        <w:rPr>
          <w:b/>
          <w:sz w:val="24"/>
          <w:szCs w:val="24"/>
        </w:rPr>
        <w:tab/>
      </w:r>
      <w:r>
        <w:rPr>
          <w:sz w:val="24"/>
          <w:szCs w:val="24"/>
        </w:rPr>
        <w:tab/>
      </w:r>
      <w:r>
        <w:rPr>
          <w:sz w:val="24"/>
          <w:szCs w:val="24"/>
        </w:rPr>
        <w:tab/>
      </w:r>
      <w:r>
        <w:rPr>
          <w:sz w:val="24"/>
          <w:szCs w:val="24"/>
        </w:rPr>
        <w:tab/>
      </w:r>
      <w:r>
        <w:rPr>
          <w:sz w:val="24"/>
          <w:szCs w:val="24"/>
        </w:rPr>
        <w:tab/>
        <w:t>Kenneth D. Thomas # 262443</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Riverbend Maximum Security Institution</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7475 Cockrill Bend Blvd.</w:t>
      </w:r>
    </w:p>
    <w:p w:rsidR="00A07DD2" w:rsidRDefault="002B155B" w:rsidP="002B2808">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Nashville, Tennessee 37209</w:t>
      </w:r>
    </w:p>
    <w:p w:rsidR="002B2808" w:rsidRDefault="002B2808" w:rsidP="002B2808">
      <w:pPr>
        <w:pStyle w:val="ListParagraph"/>
        <w:spacing w:line="276" w:lineRule="auto"/>
        <w:ind w:left="0"/>
        <w:rPr>
          <w:sz w:val="24"/>
          <w:szCs w:val="24"/>
        </w:rPr>
      </w:pPr>
    </w:p>
    <w:p w:rsidR="002B2808" w:rsidRDefault="002B2808" w:rsidP="002B2808">
      <w:pPr>
        <w:pStyle w:val="ListParagraph"/>
        <w:spacing w:line="276" w:lineRule="auto"/>
        <w:ind w:left="0"/>
        <w:rPr>
          <w:sz w:val="24"/>
          <w:szCs w:val="24"/>
        </w:rPr>
      </w:pPr>
    </w:p>
    <w:p w:rsidR="002B2808" w:rsidRDefault="002B2808" w:rsidP="002B2808">
      <w:pPr>
        <w:pStyle w:val="ListParagraph"/>
        <w:spacing w:line="276" w:lineRule="auto"/>
        <w:ind w:left="0"/>
        <w:rPr>
          <w:sz w:val="24"/>
          <w:szCs w:val="24"/>
        </w:rPr>
      </w:pPr>
    </w:p>
    <w:p w:rsidR="002B2808" w:rsidRDefault="002B2808" w:rsidP="002B2808">
      <w:pPr>
        <w:pStyle w:val="ListParagraph"/>
        <w:spacing w:line="276" w:lineRule="auto"/>
        <w:ind w:left="0"/>
        <w:jc w:val="center"/>
        <w:rPr>
          <w:b/>
          <w:sz w:val="24"/>
          <w:szCs w:val="24"/>
        </w:rPr>
      </w:pPr>
      <w:r>
        <w:rPr>
          <w:b/>
          <w:sz w:val="24"/>
          <w:szCs w:val="24"/>
        </w:rPr>
        <w:t>CERTIFICATE OF SERVICE</w:t>
      </w:r>
    </w:p>
    <w:p w:rsidR="00A663E6" w:rsidRPr="00A663E6" w:rsidRDefault="00A663E6" w:rsidP="002B2808">
      <w:pPr>
        <w:pStyle w:val="ListParagraph"/>
        <w:spacing w:line="276" w:lineRule="auto"/>
        <w:ind w:left="0"/>
        <w:jc w:val="center"/>
        <w:rPr>
          <w:b/>
          <w:sz w:val="16"/>
          <w:szCs w:val="16"/>
        </w:rPr>
      </w:pPr>
    </w:p>
    <w:p w:rsidR="002B2808" w:rsidRDefault="002B2808" w:rsidP="00A663E6">
      <w:pPr>
        <w:pStyle w:val="ListParagraph"/>
        <w:spacing w:line="360" w:lineRule="auto"/>
        <w:ind w:left="0"/>
        <w:jc w:val="both"/>
        <w:rPr>
          <w:sz w:val="24"/>
          <w:szCs w:val="24"/>
        </w:rPr>
      </w:pPr>
      <w:r>
        <w:rPr>
          <w:sz w:val="24"/>
          <w:szCs w:val="24"/>
        </w:rPr>
        <w:tab/>
        <w:t>I , the undersigned, certify that on the 21</w:t>
      </w:r>
      <w:r w:rsidRPr="002B2808">
        <w:rPr>
          <w:sz w:val="24"/>
          <w:szCs w:val="24"/>
          <w:vertAlign w:val="superscript"/>
        </w:rPr>
        <w:t>st</w:t>
      </w:r>
      <w:r>
        <w:rPr>
          <w:sz w:val="24"/>
          <w:szCs w:val="24"/>
        </w:rPr>
        <w:t xml:space="preserve"> day of July 2025, a true and exact copy of the forgoing</w:t>
      </w:r>
      <w:r w:rsidRPr="002B2808">
        <w:t xml:space="preserve"> </w:t>
      </w:r>
      <w:r w:rsidR="00A663E6" w:rsidRPr="002B2808">
        <w:rPr>
          <w:sz w:val="24"/>
          <w:szCs w:val="24"/>
        </w:rPr>
        <w:t>emergency motion for release on bond pending resolution of habeas corpus petition</w:t>
      </w:r>
      <w:r w:rsidR="00A663E6">
        <w:rPr>
          <w:sz w:val="24"/>
          <w:szCs w:val="24"/>
        </w:rPr>
        <w:t xml:space="preserve"> has been mailed, postage prepaid, to State of Tennessee, Office of the Attorney General, P.O. Box 20207, Nashville, Tennessee 37202.</w:t>
      </w:r>
    </w:p>
    <w:p w:rsidR="00A663E6" w:rsidRDefault="00A663E6" w:rsidP="002B2808">
      <w:pPr>
        <w:pStyle w:val="ListParagraph"/>
        <w:spacing w:line="276" w:lineRule="auto"/>
        <w:ind w:left="0"/>
        <w:jc w:val="both"/>
        <w:rPr>
          <w:sz w:val="24"/>
          <w:szCs w:val="24"/>
        </w:rPr>
      </w:pPr>
    </w:p>
    <w:p w:rsidR="00A663E6" w:rsidRDefault="00A663E6" w:rsidP="00A663E6">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A663E6" w:rsidRPr="002B2808" w:rsidRDefault="00A663E6" w:rsidP="002B2808">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p>
    <w:sectPr w:rsidR="00A663E6" w:rsidRPr="002B2808" w:rsidSect="002B2808">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A6D" w:rsidRDefault="00380A6D" w:rsidP="00130E6F">
      <w:r>
        <w:separator/>
      </w:r>
    </w:p>
  </w:endnote>
  <w:endnote w:type="continuationSeparator" w:id="0">
    <w:p w:rsidR="00380A6D" w:rsidRDefault="00380A6D" w:rsidP="001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5750278"/>
      <w:docPartObj>
        <w:docPartGallery w:val="Page Numbers (Bottom of Page)"/>
        <w:docPartUnique/>
      </w:docPartObj>
    </w:sdtPr>
    <w:sdtEndPr>
      <w:rPr>
        <w:noProof/>
      </w:rPr>
    </w:sdtEndPr>
    <w:sdtContent>
      <w:p w:rsidR="00DE15E2" w:rsidRDefault="00DE15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E15E2" w:rsidRDefault="00DE1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A6D" w:rsidRDefault="00380A6D" w:rsidP="00130E6F">
      <w:r>
        <w:separator/>
      </w:r>
    </w:p>
  </w:footnote>
  <w:footnote w:type="continuationSeparator" w:id="0">
    <w:p w:rsidR="00380A6D" w:rsidRDefault="00380A6D" w:rsidP="0013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B54A2"/>
    <w:multiLevelType w:val="hybridMultilevel"/>
    <w:tmpl w:val="FFC4C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B1867"/>
    <w:multiLevelType w:val="hybridMultilevel"/>
    <w:tmpl w:val="A6C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173B"/>
    <w:multiLevelType w:val="hybridMultilevel"/>
    <w:tmpl w:val="4FDA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95F78"/>
    <w:multiLevelType w:val="hybridMultilevel"/>
    <w:tmpl w:val="4A503310"/>
    <w:lvl w:ilvl="0" w:tplc="76229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27005"/>
    <w:multiLevelType w:val="hybridMultilevel"/>
    <w:tmpl w:val="9966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A1D39"/>
    <w:multiLevelType w:val="hybridMultilevel"/>
    <w:tmpl w:val="985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D4B42"/>
    <w:multiLevelType w:val="hybridMultilevel"/>
    <w:tmpl w:val="70944324"/>
    <w:lvl w:ilvl="0" w:tplc="44A286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F87D58"/>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50CF0"/>
    <w:multiLevelType w:val="hybridMultilevel"/>
    <w:tmpl w:val="18F6E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37954"/>
    <w:multiLevelType w:val="hybridMultilevel"/>
    <w:tmpl w:val="BAC82ABC"/>
    <w:lvl w:ilvl="0" w:tplc="99AAA6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F2F69"/>
    <w:multiLevelType w:val="hybridMultilevel"/>
    <w:tmpl w:val="165E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107BF"/>
    <w:multiLevelType w:val="hybridMultilevel"/>
    <w:tmpl w:val="489CD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5B2F90"/>
    <w:multiLevelType w:val="hybridMultilevel"/>
    <w:tmpl w:val="DBB4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23354"/>
    <w:multiLevelType w:val="hybridMultilevel"/>
    <w:tmpl w:val="A928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A27F2"/>
    <w:multiLevelType w:val="hybridMultilevel"/>
    <w:tmpl w:val="2F96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6591E"/>
    <w:multiLevelType w:val="hybridMultilevel"/>
    <w:tmpl w:val="4808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C5A2B"/>
    <w:multiLevelType w:val="hybridMultilevel"/>
    <w:tmpl w:val="EE4A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E25D7"/>
    <w:multiLevelType w:val="hybridMultilevel"/>
    <w:tmpl w:val="A4E6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C3ADF"/>
    <w:multiLevelType w:val="hybridMultilevel"/>
    <w:tmpl w:val="65F0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BE7B13"/>
    <w:multiLevelType w:val="hybridMultilevel"/>
    <w:tmpl w:val="DBB6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8D7DA6"/>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A186C"/>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B078B"/>
    <w:multiLevelType w:val="hybridMultilevel"/>
    <w:tmpl w:val="92B249B4"/>
    <w:lvl w:ilvl="0" w:tplc="99AAA6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D22E65"/>
    <w:multiLevelType w:val="hybridMultilevel"/>
    <w:tmpl w:val="096E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77B68"/>
    <w:multiLevelType w:val="hybridMultilevel"/>
    <w:tmpl w:val="4B708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94DD2"/>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00FFE"/>
    <w:multiLevelType w:val="hybridMultilevel"/>
    <w:tmpl w:val="485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3"/>
  </w:num>
  <w:num w:numId="4">
    <w:abstractNumId w:val="24"/>
  </w:num>
  <w:num w:numId="5">
    <w:abstractNumId w:val="6"/>
  </w:num>
  <w:num w:numId="6">
    <w:abstractNumId w:val="7"/>
  </w:num>
  <w:num w:numId="7">
    <w:abstractNumId w:val="20"/>
  </w:num>
  <w:num w:numId="8">
    <w:abstractNumId w:val="25"/>
  </w:num>
  <w:num w:numId="9">
    <w:abstractNumId w:val="21"/>
  </w:num>
  <w:num w:numId="10">
    <w:abstractNumId w:val="2"/>
  </w:num>
  <w:num w:numId="11">
    <w:abstractNumId w:val="15"/>
  </w:num>
  <w:num w:numId="12">
    <w:abstractNumId w:val="9"/>
  </w:num>
  <w:num w:numId="13">
    <w:abstractNumId w:val="23"/>
  </w:num>
  <w:num w:numId="14">
    <w:abstractNumId w:val="17"/>
  </w:num>
  <w:num w:numId="15">
    <w:abstractNumId w:val="13"/>
  </w:num>
  <w:num w:numId="16">
    <w:abstractNumId w:val="26"/>
  </w:num>
  <w:num w:numId="17">
    <w:abstractNumId w:val="18"/>
  </w:num>
  <w:num w:numId="18">
    <w:abstractNumId w:val="12"/>
  </w:num>
  <w:num w:numId="19">
    <w:abstractNumId w:val="16"/>
  </w:num>
  <w:num w:numId="20">
    <w:abstractNumId w:val="8"/>
  </w:num>
  <w:num w:numId="21">
    <w:abstractNumId w:val="22"/>
  </w:num>
  <w:num w:numId="22">
    <w:abstractNumId w:val="0"/>
  </w:num>
  <w:num w:numId="23">
    <w:abstractNumId w:val="1"/>
  </w:num>
  <w:num w:numId="24">
    <w:abstractNumId w:val="19"/>
  </w:num>
  <w:num w:numId="25">
    <w:abstractNumId w:val="5"/>
  </w:num>
  <w:num w:numId="26">
    <w:abstractNumId w:val="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E6F"/>
    <w:rsid w:val="000038AE"/>
    <w:rsid w:val="000135A2"/>
    <w:rsid w:val="0005758E"/>
    <w:rsid w:val="00083881"/>
    <w:rsid w:val="00086CEB"/>
    <w:rsid w:val="000F2E6C"/>
    <w:rsid w:val="001063C7"/>
    <w:rsid w:val="001254C1"/>
    <w:rsid w:val="00130E6F"/>
    <w:rsid w:val="0013562B"/>
    <w:rsid w:val="00242AF9"/>
    <w:rsid w:val="002452F8"/>
    <w:rsid w:val="002B155B"/>
    <w:rsid w:val="002B2808"/>
    <w:rsid w:val="003041B1"/>
    <w:rsid w:val="00313EB9"/>
    <w:rsid w:val="00380A6D"/>
    <w:rsid w:val="003D20EF"/>
    <w:rsid w:val="004868D3"/>
    <w:rsid w:val="004A0B76"/>
    <w:rsid w:val="004B5EC7"/>
    <w:rsid w:val="004D4BE9"/>
    <w:rsid w:val="004E58A3"/>
    <w:rsid w:val="004E7058"/>
    <w:rsid w:val="00513A6A"/>
    <w:rsid w:val="00530DC5"/>
    <w:rsid w:val="00533B4A"/>
    <w:rsid w:val="0061617D"/>
    <w:rsid w:val="00624F25"/>
    <w:rsid w:val="006C4B77"/>
    <w:rsid w:val="006F2387"/>
    <w:rsid w:val="00720E95"/>
    <w:rsid w:val="007227F0"/>
    <w:rsid w:val="00732ADC"/>
    <w:rsid w:val="007D49E5"/>
    <w:rsid w:val="0083708A"/>
    <w:rsid w:val="0087083D"/>
    <w:rsid w:val="008740B3"/>
    <w:rsid w:val="00881767"/>
    <w:rsid w:val="008C4206"/>
    <w:rsid w:val="00920123"/>
    <w:rsid w:val="009223E4"/>
    <w:rsid w:val="00997608"/>
    <w:rsid w:val="009B7EB9"/>
    <w:rsid w:val="00A07DD2"/>
    <w:rsid w:val="00A61585"/>
    <w:rsid w:val="00A62EBB"/>
    <w:rsid w:val="00A663E6"/>
    <w:rsid w:val="00A9297E"/>
    <w:rsid w:val="00AB3D85"/>
    <w:rsid w:val="00AC0435"/>
    <w:rsid w:val="00AF1250"/>
    <w:rsid w:val="00B53E1D"/>
    <w:rsid w:val="00B5785A"/>
    <w:rsid w:val="00BD6C12"/>
    <w:rsid w:val="00C37112"/>
    <w:rsid w:val="00CA6D0D"/>
    <w:rsid w:val="00CE0013"/>
    <w:rsid w:val="00CF51D2"/>
    <w:rsid w:val="00D00A28"/>
    <w:rsid w:val="00D0199E"/>
    <w:rsid w:val="00D27112"/>
    <w:rsid w:val="00D73A7F"/>
    <w:rsid w:val="00D851BE"/>
    <w:rsid w:val="00D96D62"/>
    <w:rsid w:val="00DA1979"/>
    <w:rsid w:val="00DA2B4C"/>
    <w:rsid w:val="00DE15E2"/>
    <w:rsid w:val="00E14657"/>
    <w:rsid w:val="00E845C6"/>
    <w:rsid w:val="00EE0347"/>
    <w:rsid w:val="00F04769"/>
    <w:rsid w:val="00F616AB"/>
    <w:rsid w:val="00F84AED"/>
    <w:rsid w:val="00F97557"/>
    <w:rsid w:val="00FC7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1AAA7-057F-4D05-BE6C-C70A874A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130E6F"/>
    <w:pPr>
      <w:ind w:left="720"/>
      <w:contextualSpacing/>
    </w:pPr>
  </w:style>
  <w:style w:type="paragraph" w:styleId="Header">
    <w:name w:val="header"/>
    <w:basedOn w:val="Normal"/>
    <w:link w:val="HeaderChar"/>
    <w:uiPriority w:val="99"/>
    <w:unhideWhenUsed/>
    <w:rsid w:val="00130E6F"/>
    <w:pPr>
      <w:tabs>
        <w:tab w:val="center" w:pos="4680"/>
        <w:tab w:val="right" w:pos="9360"/>
      </w:tabs>
    </w:pPr>
  </w:style>
  <w:style w:type="character" w:customStyle="1" w:styleId="HeaderChar">
    <w:name w:val="Header Char"/>
    <w:basedOn w:val="DefaultParagraphFont"/>
    <w:link w:val="Header"/>
    <w:uiPriority w:val="99"/>
    <w:rsid w:val="00130E6F"/>
  </w:style>
  <w:style w:type="paragraph" w:styleId="Footer">
    <w:name w:val="footer"/>
    <w:basedOn w:val="Normal"/>
    <w:link w:val="FooterChar"/>
    <w:uiPriority w:val="99"/>
    <w:unhideWhenUsed/>
    <w:rsid w:val="00130E6F"/>
    <w:pPr>
      <w:tabs>
        <w:tab w:val="center" w:pos="4680"/>
        <w:tab w:val="right" w:pos="9360"/>
      </w:tabs>
    </w:pPr>
  </w:style>
  <w:style w:type="character" w:customStyle="1" w:styleId="FooterChar">
    <w:name w:val="Footer Char"/>
    <w:basedOn w:val="DefaultParagraphFont"/>
    <w:link w:val="Footer"/>
    <w:uiPriority w:val="99"/>
    <w:rsid w:val="00130E6F"/>
  </w:style>
  <w:style w:type="paragraph" w:styleId="FootnoteText">
    <w:name w:val="footnote text"/>
    <w:basedOn w:val="Normal"/>
    <w:link w:val="FootnoteTextChar"/>
    <w:uiPriority w:val="99"/>
    <w:semiHidden/>
    <w:unhideWhenUsed/>
    <w:rsid w:val="004E7058"/>
  </w:style>
  <w:style w:type="character" w:customStyle="1" w:styleId="FootnoteTextChar">
    <w:name w:val="Footnote Text Char"/>
    <w:basedOn w:val="DefaultParagraphFont"/>
    <w:link w:val="FootnoteText"/>
    <w:uiPriority w:val="99"/>
    <w:semiHidden/>
    <w:rsid w:val="004E7058"/>
  </w:style>
  <w:style w:type="character" w:styleId="FootnoteReference">
    <w:name w:val="footnote reference"/>
    <w:basedOn w:val="DefaultParagraphFont"/>
    <w:uiPriority w:val="99"/>
    <w:semiHidden/>
    <w:unhideWhenUsed/>
    <w:rsid w:val="004E70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2025-07-25T18:55:00Z</dcterms:created>
  <dcterms:modified xsi:type="dcterms:W3CDTF">2025-07-25T18:55:00Z</dcterms:modified>
</cp:coreProperties>
</file>