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F1E9E" w14:textId="77777777" w:rsidR="004736BA" w:rsidRPr="004736BA" w:rsidRDefault="004736BA" w:rsidP="004736BA">
      <w:pPr>
        <w:pStyle w:val="EnvelopeReturn"/>
        <w:rPr>
          <w:rFonts w:ascii="Times New Roman" w:hAnsi="Times New Roman" w:cs="Times New Roman"/>
          <w:sz w:val="24"/>
          <w:szCs w:val="24"/>
        </w:rPr>
      </w:pPr>
      <w:r w:rsidRPr="004736BA">
        <w:rPr>
          <w:rFonts w:ascii="Times New Roman" w:hAnsi="Times New Roman" w:cs="Times New Roman"/>
          <w:sz w:val="24"/>
          <w:szCs w:val="24"/>
        </w:rPr>
        <w:t>Mr. Kenneth D. Thomas # 262443</w:t>
      </w:r>
    </w:p>
    <w:p w14:paraId="75D6417A" w14:textId="77777777" w:rsidR="004736BA" w:rsidRPr="004736BA" w:rsidRDefault="004736BA" w:rsidP="004736BA">
      <w:pPr>
        <w:pStyle w:val="EnvelopeReturn"/>
        <w:rPr>
          <w:rFonts w:ascii="Times New Roman" w:hAnsi="Times New Roman" w:cs="Times New Roman"/>
          <w:sz w:val="24"/>
          <w:szCs w:val="24"/>
        </w:rPr>
      </w:pPr>
      <w:r w:rsidRPr="004736BA">
        <w:rPr>
          <w:rFonts w:ascii="Times New Roman" w:hAnsi="Times New Roman" w:cs="Times New Roman"/>
          <w:sz w:val="24"/>
          <w:szCs w:val="24"/>
        </w:rPr>
        <w:t>Riverbend Maximum Security Institution</w:t>
      </w:r>
    </w:p>
    <w:p w14:paraId="379ADA5C" w14:textId="77777777" w:rsidR="004736BA" w:rsidRPr="004736BA" w:rsidRDefault="004736BA" w:rsidP="004736BA">
      <w:pPr>
        <w:pStyle w:val="EnvelopeReturn"/>
        <w:rPr>
          <w:rFonts w:ascii="Times New Roman" w:hAnsi="Times New Roman" w:cs="Times New Roman"/>
          <w:sz w:val="24"/>
          <w:szCs w:val="24"/>
        </w:rPr>
      </w:pPr>
      <w:r w:rsidRPr="004736BA">
        <w:rPr>
          <w:rFonts w:ascii="Times New Roman" w:hAnsi="Times New Roman" w:cs="Times New Roman"/>
          <w:sz w:val="24"/>
          <w:szCs w:val="24"/>
        </w:rPr>
        <w:t>7475 Cockrill Bend Blvd.</w:t>
      </w:r>
    </w:p>
    <w:p w14:paraId="4AB7CAC5" w14:textId="77777777" w:rsidR="004736BA" w:rsidRPr="004736BA" w:rsidRDefault="004736BA" w:rsidP="004736BA">
      <w:pPr>
        <w:pStyle w:val="EnvelopeReturn"/>
        <w:rPr>
          <w:rFonts w:ascii="Times New Roman" w:hAnsi="Times New Roman" w:cs="Times New Roman"/>
          <w:sz w:val="24"/>
          <w:szCs w:val="24"/>
        </w:rPr>
      </w:pPr>
      <w:r w:rsidRPr="004736BA">
        <w:rPr>
          <w:rFonts w:ascii="Times New Roman" w:hAnsi="Times New Roman" w:cs="Times New Roman"/>
          <w:sz w:val="24"/>
          <w:szCs w:val="24"/>
        </w:rPr>
        <w:t>Nashville, TN 37209</w:t>
      </w:r>
    </w:p>
    <w:p w14:paraId="07EACF1F" w14:textId="77777777" w:rsidR="004736BA" w:rsidRDefault="004736BA" w:rsidP="004736BA">
      <w:pPr>
        <w:pStyle w:val="EnvelopeReturn"/>
      </w:pPr>
    </w:p>
    <w:p w14:paraId="56188CC9" w14:textId="77777777" w:rsidR="004736BA" w:rsidRPr="004736BA" w:rsidRDefault="004736BA" w:rsidP="004736BA">
      <w:pPr>
        <w:pStyle w:val="EnvelopeReturn"/>
        <w:rPr>
          <w:rFonts w:ascii="Arial Black" w:hAnsi="Arial Black"/>
          <w:sz w:val="24"/>
          <w:szCs w:val="24"/>
        </w:rPr>
      </w:pPr>
      <w:r w:rsidRPr="004736BA">
        <w:rPr>
          <w:rFonts w:ascii="Arial Black" w:hAnsi="Arial Black"/>
          <w:sz w:val="24"/>
          <w:szCs w:val="24"/>
        </w:rPr>
        <w:t>LEGAL MAIL</w:t>
      </w:r>
    </w:p>
    <w:p w14:paraId="06DDE186" w14:textId="77777777" w:rsidR="00445710" w:rsidRPr="00445710" w:rsidRDefault="00445710" w:rsidP="00445710">
      <w:pPr>
        <w:framePr w:w="6099" w:h="1980" w:hRule="exact" w:hSpace="180" w:wrap="auto" w:vAnchor="page" w:hAnchor="page" w:x="6291" w:y="3090"/>
        <w:rPr>
          <w:rFonts w:eastAsiaTheme="majorEastAsia"/>
          <w:sz w:val="32"/>
          <w:szCs w:val="32"/>
        </w:rPr>
      </w:pPr>
      <w:r w:rsidRPr="00445710">
        <w:rPr>
          <w:rFonts w:eastAsiaTheme="majorEastAsia"/>
          <w:sz w:val="32"/>
          <w:szCs w:val="32"/>
        </w:rPr>
        <w:t>Assistant Attorney General William True</w:t>
      </w:r>
    </w:p>
    <w:p w14:paraId="092197BE" w14:textId="77777777" w:rsidR="00445710" w:rsidRPr="00445710" w:rsidRDefault="00445710" w:rsidP="00445710">
      <w:pPr>
        <w:framePr w:w="6099" w:h="1980" w:hRule="exact" w:hSpace="180" w:wrap="auto" w:vAnchor="page" w:hAnchor="page" w:x="6291" w:y="3090"/>
        <w:rPr>
          <w:rFonts w:eastAsiaTheme="majorEastAsia"/>
          <w:sz w:val="32"/>
          <w:szCs w:val="32"/>
        </w:rPr>
      </w:pPr>
      <w:r w:rsidRPr="00445710">
        <w:rPr>
          <w:rFonts w:eastAsiaTheme="majorEastAsia"/>
          <w:sz w:val="32"/>
          <w:szCs w:val="32"/>
        </w:rPr>
        <w:t>Office of the Attorney General</w:t>
      </w:r>
    </w:p>
    <w:p w14:paraId="68C70121" w14:textId="77777777" w:rsidR="00445710" w:rsidRPr="00445710" w:rsidRDefault="00445710" w:rsidP="00445710">
      <w:pPr>
        <w:framePr w:w="6099" w:h="1980" w:hRule="exact" w:hSpace="180" w:wrap="auto" w:vAnchor="page" w:hAnchor="page" w:x="6291" w:y="3090"/>
        <w:rPr>
          <w:rFonts w:eastAsiaTheme="majorEastAsia"/>
          <w:sz w:val="32"/>
          <w:szCs w:val="32"/>
        </w:rPr>
      </w:pPr>
      <w:r w:rsidRPr="00445710">
        <w:rPr>
          <w:rFonts w:eastAsiaTheme="majorEastAsia"/>
          <w:sz w:val="32"/>
          <w:szCs w:val="32"/>
        </w:rPr>
        <w:t>P.O. Box 20207</w:t>
      </w:r>
    </w:p>
    <w:p w14:paraId="3583362A" w14:textId="77777777" w:rsidR="00445710" w:rsidRPr="00445710" w:rsidRDefault="00445710" w:rsidP="00445710">
      <w:pPr>
        <w:framePr w:w="6099" w:h="1980" w:hRule="exact" w:hSpace="180" w:wrap="auto" w:vAnchor="page" w:hAnchor="page" w:x="6291" w:y="3090"/>
        <w:rPr>
          <w:rFonts w:eastAsiaTheme="majorEastAsia"/>
          <w:b/>
          <w:sz w:val="32"/>
          <w:szCs w:val="32"/>
        </w:rPr>
      </w:pPr>
      <w:r w:rsidRPr="00445710">
        <w:rPr>
          <w:rFonts w:eastAsiaTheme="majorEastAsia"/>
          <w:sz w:val="32"/>
          <w:szCs w:val="32"/>
        </w:rPr>
        <w:t>Nashville, Tennessee 37202</w:t>
      </w:r>
    </w:p>
    <w:p w14:paraId="05C1C7AC" w14:textId="77777777" w:rsidR="004736BA" w:rsidRDefault="004736BA" w:rsidP="004736BA">
      <w:pPr>
        <w:sectPr w:rsidR="004736BA">
          <w:pgSz w:w="13680" w:h="5940" w:orient="landscape"/>
          <w:pgMar w:top="360" w:right="720" w:bottom="720" w:left="576" w:header="720" w:footer="720" w:gutter="0"/>
          <w:paperSrc w:first="15"/>
          <w:pgNumType w:start="0"/>
          <w:cols w:space="720"/>
        </w:sectPr>
      </w:pPr>
    </w:p>
    <w:p w14:paraId="7615BFDD" w14:textId="77777777" w:rsidR="00DA2B4C" w:rsidRPr="009A4A2D" w:rsidRDefault="009F6D92" w:rsidP="009F6D92">
      <w:pPr>
        <w:jc w:val="center"/>
        <w:rPr>
          <w:b/>
          <w:sz w:val="24"/>
          <w:szCs w:val="24"/>
        </w:rPr>
      </w:pPr>
      <w:r w:rsidRPr="009A4A2D">
        <w:rPr>
          <w:b/>
          <w:sz w:val="24"/>
          <w:szCs w:val="24"/>
        </w:rPr>
        <w:lastRenderedPageBreak/>
        <w:t>IN THE UNITED STATES COURT OF APPEALS</w:t>
      </w:r>
    </w:p>
    <w:p w14:paraId="3B6E6BD5" w14:textId="77777777" w:rsidR="009F6D92" w:rsidRPr="009A4A2D" w:rsidRDefault="009F6D92" w:rsidP="009F6D92">
      <w:pPr>
        <w:jc w:val="center"/>
        <w:rPr>
          <w:b/>
          <w:sz w:val="24"/>
          <w:szCs w:val="24"/>
        </w:rPr>
      </w:pPr>
      <w:r w:rsidRPr="009A4A2D">
        <w:rPr>
          <w:b/>
          <w:sz w:val="24"/>
          <w:szCs w:val="24"/>
        </w:rPr>
        <w:t>FOR THE SIXTH CIRCUIT</w:t>
      </w:r>
    </w:p>
    <w:p w14:paraId="162BAF9C" w14:textId="77777777" w:rsidR="009F6D92" w:rsidRPr="009A4A2D" w:rsidRDefault="009F6D92" w:rsidP="009F6D92">
      <w:pPr>
        <w:jc w:val="center"/>
        <w:rPr>
          <w:b/>
          <w:sz w:val="24"/>
          <w:szCs w:val="24"/>
        </w:rPr>
      </w:pPr>
    </w:p>
    <w:p w14:paraId="24FCB65C" w14:textId="77777777" w:rsidR="009A4A2D" w:rsidRPr="009A4A2D" w:rsidRDefault="009A4A2D" w:rsidP="009A4A2D">
      <w:pPr>
        <w:rPr>
          <w:b/>
          <w:sz w:val="24"/>
          <w:szCs w:val="24"/>
        </w:rPr>
      </w:pPr>
      <w:r w:rsidRPr="009A4A2D">
        <w:rPr>
          <w:b/>
          <w:sz w:val="24"/>
          <w:szCs w:val="24"/>
        </w:rPr>
        <w:t>IN RE:</w:t>
      </w:r>
      <w:r>
        <w:rPr>
          <w:b/>
          <w:sz w:val="24"/>
          <w:szCs w:val="24"/>
        </w:rPr>
        <w:tab/>
      </w:r>
      <w:r>
        <w:rPr>
          <w:b/>
          <w:sz w:val="24"/>
          <w:szCs w:val="24"/>
        </w:rPr>
        <w:tab/>
      </w:r>
      <w:r>
        <w:rPr>
          <w:b/>
          <w:sz w:val="24"/>
          <w:szCs w:val="24"/>
        </w:rPr>
        <w:tab/>
      </w:r>
      <w:r>
        <w:rPr>
          <w:b/>
          <w:sz w:val="24"/>
          <w:szCs w:val="24"/>
        </w:rPr>
        <w:tab/>
      </w:r>
      <w:r>
        <w:rPr>
          <w:b/>
          <w:sz w:val="24"/>
          <w:szCs w:val="24"/>
        </w:rPr>
        <w:tab/>
        <w:t xml:space="preserve">    )</w:t>
      </w:r>
    </w:p>
    <w:p w14:paraId="0DECB43A" w14:textId="77777777" w:rsidR="009F6D92" w:rsidRPr="009A4A2D" w:rsidRDefault="009A4A2D" w:rsidP="009A4A2D">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009F6D92" w:rsidRPr="009A4A2D">
        <w:rPr>
          <w:b/>
          <w:sz w:val="24"/>
          <w:szCs w:val="24"/>
        </w:rPr>
        <w:t>)</w:t>
      </w:r>
    </w:p>
    <w:p w14:paraId="4CCACF84" w14:textId="77777777" w:rsidR="009F6D92" w:rsidRPr="009A4A2D" w:rsidRDefault="009F6D92" w:rsidP="009A4A2D">
      <w:pPr>
        <w:rPr>
          <w:b/>
          <w:sz w:val="24"/>
          <w:szCs w:val="24"/>
        </w:rPr>
      </w:pPr>
      <w:r w:rsidRPr="009A4A2D">
        <w:rPr>
          <w:b/>
          <w:sz w:val="24"/>
          <w:szCs w:val="24"/>
        </w:rPr>
        <w:tab/>
        <w:t>KENNETH THOMAS,</w:t>
      </w:r>
      <w:r w:rsidRPr="009A4A2D">
        <w:rPr>
          <w:b/>
          <w:sz w:val="24"/>
          <w:szCs w:val="24"/>
        </w:rPr>
        <w:tab/>
        <w:t xml:space="preserve">    </w:t>
      </w:r>
      <w:r w:rsidR="009A4A2D">
        <w:rPr>
          <w:b/>
          <w:sz w:val="24"/>
          <w:szCs w:val="24"/>
        </w:rPr>
        <w:tab/>
        <w:t xml:space="preserve">    </w:t>
      </w:r>
      <w:r w:rsidRPr="009A4A2D">
        <w:rPr>
          <w:b/>
          <w:sz w:val="24"/>
          <w:szCs w:val="24"/>
        </w:rPr>
        <w:t>)</w:t>
      </w:r>
      <w:r w:rsidRPr="009A4A2D">
        <w:rPr>
          <w:b/>
          <w:sz w:val="24"/>
          <w:szCs w:val="24"/>
        </w:rPr>
        <w:tab/>
      </w:r>
      <w:r w:rsidRPr="009A4A2D">
        <w:rPr>
          <w:b/>
          <w:sz w:val="24"/>
          <w:szCs w:val="24"/>
        </w:rPr>
        <w:tab/>
      </w:r>
      <w:r w:rsidRPr="009A4A2D">
        <w:rPr>
          <w:b/>
          <w:sz w:val="24"/>
          <w:szCs w:val="24"/>
        </w:rPr>
        <w:tab/>
        <w:t>No. 25-5708</w:t>
      </w:r>
    </w:p>
    <w:p w14:paraId="1B87C882" w14:textId="77777777" w:rsidR="009F6D92" w:rsidRPr="009A4A2D" w:rsidRDefault="009A4A2D" w:rsidP="009A4A2D">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009F6D92" w:rsidRPr="009A4A2D">
        <w:rPr>
          <w:b/>
          <w:sz w:val="24"/>
          <w:szCs w:val="24"/>
        </w:rPr>
        <w:t>)</w:t>
      </w:r>
    </w:p>
    <w:p w14:paraId="4323D6A1" w14:textId="77777777" w:rsidR="009F6D92" w:rsidRPr="009A4A2D" w:rsidRDefault="009F6D92" w:rsidP="009A4A2D">
      <w:pPr>
        <w:rPr>
          <w:b/>
          <w:sz w:val="24"/>
          <w:szCs w:val="24"/>
        </w:rPr>
      </w:pPr>
      <w:r w:rsidRPr="009A4A2D">
        <w:rPr>
          <w:b/>
          <w:sz w:val="24"/>
          <w:szCs w:val="24"/>
        </w:rPr>
        <w:tab/>
        <w:t>Petitioner-Movant.</w:t>
      </w:r>
      <w:r w:rsidRPr="009A4A2D">
        <w:rPr>
          <w:b/>
          <w:sz w:val="24"/>
          <w:szCs w:val="24"/>
        </w:rPr>
        <w:tab/>
      </w:r>
      <w:r w:rsidRPr="009A4A2D">
        <w:rPr>
          <w:b/>
          <w:sz w:val="24"/>
          <w:szCs w:val="24"/>
        </w:rPr>
        <w:tab/>
        <w:t xml:space="preserve">  </w:t>
      </w:r>
      <w:r w:rsidR="009A4A2D">
        <w:rPr>
          <w:b/>
          <w:sz w:val="24"/>
          <w:szCs w:val="24"/>
        </w:rPr>
        <w:tab/>
        <w:t xml:space="preserve">    </w:t>
      </w:r>
      <w:r w:rsidRPr="009A4A2D">
        <w:rPr>
          <w:b/>
          <w:sz w:val="24"/>
          <w:szCs w:val="24"/>
        </w:rPr>
        <w:t>)</w:t>
      </w:r>
    </w:p>
    <w:p w14:paraId="50EDA931" w14:textId="77777777" w:rsidR="009F6D92" w:rsidRPr="009A4A2D" w:rsidRDefault="009F6D92" w:rsidP="009A4A2D">
      <w:pPr>
        <w:pBdr>
          <w:bottom w:val="single" w:sz="12" w:space="1" w:color="auto"/>
        </w:pBdr>
        <w:rPr>
          <w:b/>
          <w:sz w:val="24"/>
          <w:szCs w:val="24"/>
        </w:rPr>
      </w:pPr>
    </w:p>
    <w:p w14:paraId="48809A50" w14:textId="77777777" w:rsidR="009F6D92" w:rsidRPr="009A4A2D" w:rsidRDefault="009F6D92" w:rsidP="009A4A2D">
      <w:pPr>
        <w:pBdr>
          <w:bottom w:val="single" w:sz="12" w:space="1" w:color="auto"/>
        </w:pBdr>
        <w:rPr>
          <w:b/>
          <w:sz w:val="24"/>
          <w:szCs w:val="24"/>
        </w:rPr>
      </w:pPr>
    </w:p>
    <w:p w14:paraId="08ACBCEB" w14:textId="77777777" w:rsidR="009F6D92" w:rsidRPr="009A4A2D" w:rsidRDefault="009F6D92" w:rsidP="009F6D92">
      <w:pPr>
        <w:rPr>
          <w:b/>
          <w:sz w:val="24"/>
          <w:szCs w:val="24"/>
        </w:rPr>
      </w:pPr>
    </w:p>
    <w:p w14:paraId="65D82C48" w14:textId="77777777" w:rsidR="009F6D92" w:rsidRPr="009A4A2D" w:rsidRDefault="0097249D" w:rsidP="009F6D92">
      <w:pPr>
        <w:pBdr>
          <w:bottom w:val="single" w:sz="12" w:space="1" w:color="auto"/>
        </w:pBdr>
        <w:jc w:val="center"/>
        <w:rPr>
          <w:b/>
          <w:sz w:val="24"/>
          <w:szCs w:val="24"/>
        </w:rPr>
      </w:pPr>
      <w:bookmarkStart w:id="0" w:name="_Hlk210896926"/>
      <w:bookmarkStart w:id="1" w:name="_Hlk210979969"/>
      <w:r>
        <w:rPr>
          <w:b/>
          <w:sz w:val="24"/>
          <w:szCs w:val="24"/>
        </w:rPr>
        <w:t>PETITIONER’S DIRECT RESPONSE TO THE STATE’S MISREPRESENTATIONS AND DISTORTIONS OF FACT IN STATE’S MOTION IN OPPOSITION TO</w:t>
      </w:r>
      <w:r w:rsidR="00712ADC">
        <w:rPr>
          <w:b/>
          <w:sz w:val="24"/>
          <w:szCs w:val="24"/>
        </w:rPr>
        <w:t xml:space="preserve"> PETITIONER’S</w:t>
      </w:r>
      <w:r>
        <w:rPr>
          <w:b/>
          <w:sz w:val="24"/>
          <w:szCs w:val="24"/>
        </w:rPr>
        <w:t xml:space="preserve"> REQUEST FOR AUTHORIZATION TO FILE SECOND OR SUCCESSIVE HABEAS CORPUS PETITION</w:t>
      </w:r>
    </w:p>
    <w:bookmarkEnd w:id="0"/>
    <w:bookmarkEnd w:id="1"/>
    <w:p w14:paraId="3127A6BD" w14:textId="77777777" w:rsidR="009F6D92" w:rsidRDefault="009F6D92" w:rsidP="009F6D92">
      <w:pPr>
        <w:pBdr>
          <w:bottom w:val="single" w:sz="12" w:space="1" w:color="auto"/>
        </w:pBdr>
        <w:jc w:val="center"/>
        <w:rPr>
          <w:b/>
          <w:sz w:val="32"/>
          <w:szCs w:val="32"/>
        </w:rPr>
      </w:pPr>
    </w:p>
    <w:p w14:paraId="59347FAB" w14:textId="77777777" w:rsidR="009F6D92" w:rsidRDefault="009F6D92" w:rsidP="009F6D92">
      <w:pPr>
        <w:jc w:val="both"/>
        <w:rPr>
          <w:sz w:val="24"/>
          <w:szCs w:val="24"/>
        </w:rPr>
      </w:pPr>
    </w:p>
    <w:p w14:paraId="4E12A93F" w14:textId="77777777" w:rsidR="00423D52" w:rsidRPr="0097249D" w:rsidRDefault="0097249D" w:rsidP="00445710">
      <w:pPr>
        <w:pStyle w:val="ListParagraph"/>
        <w:numPr>
          <w:ilvl w:val="0"/>
          <w:numId w:val="3"/>
        </w:numPr>
        <w:spacing w:after="240" w:line="360" w:lineRule="auto"/>
        <w:ind w:left="360" w:hanging="360"/>
        <w:jc w:val="center"/>
        <w:rPr>
          <w:b/>
          <w:sz w:val="24"/>
          <w:szCs w:val="24"/>
        </w:rPr>
      </w:pPr>
      <w:r>
        <w:rPr>
          <w:b/>
          <w:sz w:val="24"/>
          <w:szCs w:val="24"/>
        </w:rPr>
        <w:t>INTRODUCTION AND PRELIMINARY STATEMENT</w:t>
      </w:r>
    </w:p>
    <w:p w14:paraId="3CF3C5D5" w14:textId="77777777" w:rsidR="0030214D" w:rsidRPr="00AB6C07" w:rsidRDefault="00423D52" w:rsidP="00AB6C07">
      <w:pPr>
        <w:spacing w:after="240" w:line="360" w:lineRule="auto"/>
        <w:jc w:val="both"/>
        <w:rPr>
          <w:sz w:val="24"/>
          <w:szCs w:val="24"/>
        </w:rPr>
      </w:pPr>
      <w:r>
        <w:rPr>
          <w:sz w:val="24"/>
          <w:szCs w:val="24"/>
        </w:rPr>
        <w:t xml:space="preserve"> </w:t>
      </w:r>
      <w:r>
        <w:rPr>
          <w:sz w:val="24"/>
          <w:szCs w:val="24"/>
        </w:rPr>
        <w:tab/>
      </w:r>
      <w:r w:rsidR="00781475">
        <w:rPr>
          <w:sz w:val="24"/>
          <w:szCs w:val="24"/>
        </w:rPr>
        <w:t>Movant</w:t>
      </w:r>
      <w:r w:rsidR="0097249D" w:rsidRPr="00AB6C07">
        <w:rPr>
          <w:sz w:val="24"/>
          <w:szCs w:val="24"/>
        </w:rPr>
        <w:t xml:space="preserve"> Kenneth Deangelo “Delo” Thomas, an innocent man, has served more than two decades in prison for a felony murder he did not commit. He now seeks this Court’s authorization to file a second or successive habeas petition based on </w:t>
      </w:r>
      <w:r w:rsidR="00D3289C" w:rsidRPr="00AB6C07">
        <w:rPr>
          <w:sz w:val="24"/>
          <w:szCs w:val="24"/>
        </w:rPr>
        <w:t xml:space="preserve">a </w:t>
      </w:r>
      <w:r w:rsidR="0097249D" w:rsidRPr="00AB6C07">
        <w:rPr>
          <w:sz w:val="24"/>
          <w:szCs w:val="24"/>
        </w:rPr>
        <w:t xml:space="preserve">confluence of recently unearthed evidence – evidence the State of Tennessee suppressed for over twenty years – that completely dismantles the State’s case and establishes his actual innocence. The State’s original case was built on a house of cards: the coerced and perjured testimony of two alleged accomplices, with a single, critical piece of </w:t>
      </w:r>
      <w:r w:rsidR="00C26456">
        <w:rPr>
          <w:sz w:val="24"/>
          <w:szCs w:val="24"/>
        </w:rPr>
        <w:t xml:space="preserve">supposed </w:t>
      </w:r>
      <w:r w:rsidR="006E76C9">
        <w:rPr>
          <w:sz w:val="24"/>
          <w:szCs w:val="24"/>
        </w:rPr>
        <w:t>“</w:t>
      </w:r>
      <w:r w:rsidR="0097249D" w:rsidRPr="00AB6C07">
        <w:rPr>
          <w:sz w:val="24"/>
          <w:szCs w:val="24"/>
        </w:rPr>
        <w:t>corroboration</w:t>
      </w:r>
      <w:r w:rsidR="006E76C9">
        <w:rPr>
          <w:sz w:val="24"/>
          <w:szCs w:val="24"/>
        </w:rPr>
        <w:t>”</w:t>
      </w:r>
      <w:r w:rsidR="0097249D" w:rsidRPr="00AB6C07">
        <w:rPr>
          <w:sz w:val="24"/>
          <w:szCs w:val="24"/>
        </w:rPr>
        <w:t xml:space="preserve"> from one accomplice’s brother. The new evidence systematically removes each of these cards, leaving nothing behind.</w:t>
      </w:r>
    </w:p>
    <w:p w14:paraId="6EF93E17" w14:textId="77777777" w:rsidR="00233093" w:rsidRPr="00AB6C07" w:rsidRDefault="00233093" w:rsidP="00AB6C07">
      <w:pPr>
        <w:spacing w:after="240" w:line="360" w:lineRule="auto"/>
        <w:jc w:val="both"/>
        <w:rPr>
          <w:sz w:val="24"/>
          <w:szCs w:val="24"/>
        </w:rPr>
      </w:pPr>
      <w:r w:rsidRPr="00AB6C07">
        <w:rPr>
          <w:sz w:val="24"/>
          <w:szCs w:val="24"/>
        </w:rPr>
        <w:tab/>
        <w:t xml:space="preserve">Specifically, </w:t>
      </w:r>
      <w:r w:rsidR="001D0B01">
        <w:rPr>
          <w:sz w:val="24"/>
          <w:szCs w:val="24"/>
        </w:rPr>
        <w:t>Movant</w:t>
      </w:r>
      <w:r w:rsidRPr="00AB6C07">
        <w:rPr>
          <w:sz w:val="24"/>
          <w:szCs w:val="24"/>
        </w:rPr>
        <w:t xml:space="preserve"> presents three powerful pieces of newly discovered evidence:</w:t>
      </w:r>
    </w:p>
    <w:p w14:paraId="6ACFDDA8" w14:textId="77777777" w:rsidR="00233093" w:rsidRPr="00AB6C07" w:rsidRDefault="00233093" w:rsidP="00AB6C07">
      <w:pPr>
        <w:pStyle w:val="ListParagraph"/>
        <w:numPr>
          <w:ilvl w:val="0"/>
          <w:numId w:val="4"/>
        </w:numPr>
        <w:spacing w:after="240" w:line="360" w:lineRule="auto"/>
        <w:jc w:val="both"/>
        <w:rPr>
          <w:sz w:val="24"/>
          <w:szCs w:val="24"/>
        </w:rPr>
      </w:pPr>
      <w:r w:rsidRPr="00AB6C07">
        <w:rPr>
          <w:sz w:val="24"/>
          <w:szCs w:val="24"/>
        </w:rPr>
        <w:t xml:space="preserve">A suppressed 1999 police interview with the State’s star witness, Paul Talley, in which Talley identified an entirely different individual as the perpetrator and never once mentioned </w:t>
      </w:r>
      <w:r w:rsidR="001D0B01">
        <w:rPr>
          <w:sz w:val="24"/>
          <w:szCs w:val="24"/>
        </w:rPr>
        <w:t>Movant</w:t>
      </w:r>
      <w:r w:rsidRPr="00AB6C07">
        <w:rPr>
          <w:sz w:val="24"/>
          <w:szCs w:val="24"/>
        </w:rPr>
        <w:t>’s name or involvement.</w:t>
      </w:r>
    </w:p>
    <w:p w14:paraId="4377660D" w14:textId="77777777" w:rsidR="00233093" w:rsidRPr="001D0B01" w:rsidRDefault="00233093" w:rsidP="00AB6C07">
      <w:pPr>
        <w:pStyle w:val="ListParagraph"/>
        <w:spacing w:after="240" w:line="360" w:lineRule="auto"/>
        <w:jc w:val="both"/>
        <w:rPr>
          <w:sz w:val="16"/>
          <w:szCs w:val="16"/>
        </w:rPr>
      </w:pPr>
    </w:p>
    <w:p w14:paraId="5692C97A" w14:textId="77777777" w:rsidR="00233093" w:rsidRPr="00AB6C07" w:rsidRDefault="00233093" w:rsidP="00AB6C07">
      <w:pPr>
        <w:pStyle w:val="ListParagraph"/>
        <w:numPr>
          <w:ilvl w:val="0"/>
          <w:numId w:val="4"/>
        </w:numPr>
        <w:spacing w:after="240" w:line="360" w:lineRule="auto"/>
        <w:jc w:val="both"/>
        <w:rPr>
          <w:sz w:val="24"/>
          <w:szCs w:val="24"/>
        </w:rPr>
      </w:pPr>
      <w:r w:rsidRPr="00AB6C07">
        <w:rPr>
          <w:sz w:val="24"/>
          <w:szCs w:val="24"/>
        </w:rPr>
        <w:t xml:space="preserve">A suppressed 2003 letter from the trial prosecutor to the parole board, admitting she offered Talley an inducement for his testimony – a fact she allowed Talley to deny on the stand, in clear violation of </w:t>
      </w:r>
      <w:r w:rsidRPr="00AB6C07">
        <w:rPr>
          <w:i/>
          <w:sz w:val="24"/>
          <w:szCs w:val="24"/>
        </w:rPr>
        <w:t>Giglio v. United States</w:t>
      </w:r>
      <w:r w:rsidRPr="00AB6C07">
        <w:rPr>
          <w:sz w:val="24"/>
          <w:szCs w:val="24"/>
        </w:rPr>
        <w:t>, 405 U.S. 150 (1972).</w:t>
      </w:r>
    </w:p>
    <w:p w14:paraId="58483578" w14:textId="77777777" w:rsidR="00233093" w:rsidRPr="001D0B01" w:rsidRDefault="00233093" w:rsidP="00AB6C07">
      <w:pPr>
        <w:pStyle w:val="ListParagraph"/>
        <w:spacing w:after="240" w:line="360" w:lineRule="auto"/>
        <w:jc w:val="both"/>
        <w:rPr>
          <w:sz w:val="16"/>
          <w:szCs w:val="16"/>
        </w:rPr>
      </w:pPr>
    </w:p>
    <w:p w14:paraId="653828DD" w14:textId="77777777" w:rsidR="00233093" w:rsidRPr="00AB6C07" w:rsidRDefault="00233093" w:rsidP="00AB6C07">
      <w:pPr>
        <w:pStyle w:val="ListParagraph"/>
        <w:numPr>
          <w:ilvl w:val="0"/>
          <w:numId w:val="4"/>
        </w:numPr>
        <w:spacing w:after="240" w:line="360" w:lineRule="auto"/>
        <w:jc w:val="both"/>
        <w:rPr>
          <w:sz w:val="24"/>
          <w:szCs w:val="24"/>
        </w:rPr>
      </w:pPr>
      <w:r w:rsidRPr="00AB6C07">
        <w:rPr>
          <w:sz w:val="24"/>
          <w:szCs w:val="24"/>
        </w:rPr>
        <w:lastRenderedPageBreak/>
        <w:t xml:space="preserve">A sworn 2024 recantation from Fred Talley, the </w:t>
      </w:r>
      <w:r w:rsidRPr="00AB6C07">
        <w:rPr>
          <w:i/>
          <w:sz w:val="24"/>
          <w:szCs w:val="24"/>
        </w:rPr>
        <w:t>only</w:t>
      </w:r>
      <w:r w:rsidRPr="00AB6C07">
        <w:rPr>
          <w:sz w:val="24"/>
          <w:szCs w:val="24"/>
        </w:rPr>
        <w:t xml:space="preserve"> non-accomplice witness who provided a sliver of corroboration for the State’s theory, who now admits he lied at trial to protect his brother Paul Talley, and that </w:t>
      </w:r>
      <w:r w:rsidR="001D0B01">
        <w:rPr>
          <w:sz w:val="24"/>
          <w:szCs w:val="24"/>
        </w:rPr>
        <w:t>Movant</w:t>
      </w:r>
      <w:r w:rsidRPr="00AB6C07">
        <w:rPr>
          <w:sz w:val="24"/>
          <w:szCs w:val="24"/>
        </w:rPr>
        <w:t xml:space="preserve"> was never at his house on the night of the crime.</w:t>
      </w:r>
    </w:p>
    <w:p w14:paraId="3684922F" w14:textId="77777777" w:rsidR="00233093" w:rsidRPr="001D0B01" w:rsidRDefault="00233093" w:rsidP="00AB6C07">
      <w:pPr>
        <w:pStyle w:val="ListParagraph"/>
        <w:spacing w:line="360" w:lineRule="auto"/>
        <w:rPr>
          <w:sz w:val="16"/>
          <w:szCs w:val="16"/>
        </w:rPr>
      </w:pPr>
    </w:p>
    <w:p w14:paraId="16E8DE22" w14:textId="77777777" w:rsidR="00233093" w:rsidRPr="00AB6C07" w:rsidRDefault="00233093" w:rsidP="00AB6C07">
      <w:pPr>
        <w:spacing w:after="240" w:line="360" w:lineRule="auto"/>
        <w:jc w:val="both"/>
        <w:rPr>
          <w:sz w:val="24"/>
          <w:szCs w:val="24"/>
        </w:rPr>
      </w:pPr>
      <w:r w:rsidRPr="00AB6C07">
        <w:rPr>
          <w:sz w:val="24"/>
          <w:szCs w:val="24"/>
        </w:rPr>
        <w:t xml:space="preserve">Taken together, this new evidence does not merely chip away at the State’s case; it obliterates its very foundation. It makes the prima facie showing required by 28 U.S.C. § 2244(b)(2)(B) that “warrant[s] a fuller explanation in the district court.” </w:t>
      </w:r>
      <w:r w:rsidRPr="00AB6C07">
        <w:rPr>
          <w:i/>
          <w:sz w:val="24"/>
          <w:szCs w:val="24"/>
        </w:rPr>
        <w:t>In re Lott</w:t>
      </w:r>
      <w:r w:rsidRPr="00AB6C07">
        <w:rPr>
          <w:sz w:val="24"/>
          <w:szCs w:val="24"/>
        </w:rPr>
        <w:t>, 366 F.3d 431, 433 (6</w:t>
      </w:r>
      <w:r w:rsidRPr="00AB6C07">
        <w:rPr>
          <w:sz w:val="24"/>
          <w:szCs w:val="24"/>
          <w:vertAlign w:val="superscript"/>
        </w:rPr>
        <w:t>th</w:t>
      </w:r>
      <w:r w:rsidRPr="00AB6C07">
        <w:rPr>
          <w:sz w:val="24"/>
          <w:szCs w:val="24"/>
        </w:rPr>
        <w:t xml:space="preserve"> Cir. 2004).</w:t>
      </w:r>
    </w:p>
    <w:p w14:paraId="7E9E75A5" w14:textId="77777777" w:rsidR="00233093" w:rsidRPr="00AB6C07" w:rsidRDefault="00233093" w:rsidP="00AB6C07">
      <w:pPr>
        <w:spacing w:after="240" w:line="360" w:lineRule="auto"/>
        <w:jc w:val="both"/>
        <w:rPr>
          <w:sz w:val="24"/>
          <w:szCs w:val="24"/>
        </w:rPr>
      </w:pPr>
      <w:r w:rsidRPr="00AB6C07">
        <w:rPr>
          <w:sz w:val="24"/>
          <w:szCs w:val="24"/>
        </w:rPr>
        <w:tab/>
        <w:t>The State’s opposition asks this Court to ignore the synergistic force of this new evidence and instead view each piece in isolation, through the flawed lens of a state court that refused to consider</w:t>
      </w:r>
      <w:r w:rsidR="00D3289C" w:rsidRPr="00AB6C07">
        <w:rPr>
          <w:sz w:val="24"/>
          <w:szCs w:val="24"/>
        </w:rPr>
        <w:t xml:space="preserve"> their cumulative impact. It improperly urges this Court to make final credibility determinations and defer to state-court findings that are not entitled to deference at this preliminary, gatekeeping stage. But this Court’s role under § 2244 is not to rubber-stamp a state court’s procedural dismissal; it is to conduct an independent review to determine if a petitioner has made a sufficient preliminary showing of a profound constitutional violation.</w:t>
      </w:r>
    </w:p>
    <w:p w14:paraId="20143D18" w14:textId="77777777" w:rsidR="00D3289C" w:rsidRPr="00AB6C07" w:rsidRDefault="00D3289C" w:rsidP="00AB6C07">
      <w:pPr>
        <w:spacing w:after="240" w:line="360" w:lineRule="auto"/>
        <w:jc w:val="both"/>
        <w:rPr>
          <w:sz w:val="24"/>
          <w:szCs w:val="24"/>
        </w:rPr>
      </w:pPr>
      <w:r w:rsidRPr="00AB6C07">
        <w:rPr>
          <w:sz w:val="24"/>
          <w:szCs w:val="24"/>
        </w:rPr>
        <w:tab/>
        <w:t xml:space="preserve">The State argues that the evidence was discoverable with due diligence, but it cannot explain how </w:t>
      </w:r>
      <w:r w:rsidR="001D0B01">
        <w:rPr>
          <w:sz w:val="24"/>
          <w:szCs w:val="24"/>
        </w:rPr>
        <w:t>Movant</w:t>
      </w:r>
      <w:r w:rsidRPr="00AB6C07">
        <w:rPr>
          <w:sz w:val="24"/>
          <w:szCs w:val="24"/>
        </w:rPr>
        <w:t xml:space="preserve"> was supposed to discover evidence the State itself buried in unrelated case files and withheld from the defense. The State argues that the new evidence does not prove innocence under a felony-murder theory, but it ignores that the evidence removes </w:t>
      </w:r>
      <w:r w:rsidR="001D0B01">
        <w:rPr>
          <w:sz w:val="24"/>
          <w:szCs w:val="24"/>
        </w:rPr>
        <w:t>Movant</w:t>
      </w:r>
      <w:r w:rsidRPr="00AB6C07">
        <w:rPr>
          <w:sz w:val="24"/>
          <w:szCs w:val="24"/>
        </w:rPr>
        <w:t xml:space="preserve"> from the scene of the underlying felony entirely. This is not a case of relitigating old claims. It is a case of profound constitutional violations – suppressed exculpatory evidence and the knowing use of perjured testimony – that concealed the truth and resulted in the conviction of an innocent man. </w:t>
      </w:r>
      <w:r w:rsidR="001D0B01">
        <w:rPr>
          <w:sz w:val="24"/>
          <w:szCs w:val="24"/>
        </w:rPr>
        <w:t>Movant</w:t>
      </w:r>
      <w:r w:rsidRPr="00AB6C07">
        <w:rPr>
          <w:sz w:val="24"/>
          <w:szCs w:val="24"/>
        </w:rPr>
        <w:t xml:space="preserve"> has made the requisite prima facie showing, and he is entitled to have his claims heard. This Court should grant his application and allow the district court to correct this manifest injustice.</w:t>
      </w:r>
    </w:p>
    <w:p w14:paraId="437888D3" w14:textId="77777777" w:rsidR="00372941" w:rsidRDefault="00372941" w:rsidP="00AB6C07">
      <w:pPr>
        <w:pStyle w:val="ListParagraph"/>
        <w:numPr>
          <w:ilvl w:val="0"/>
          <w:numId w:val="3"/>
        </w:numPr>
        <w:spacing w:line="360" w:lineRule="auto"/>
        <w:ind w:left="360" w:hanging="360"/>
        <w:jc w:val="center"/>
        <w:rPr>
          <w:b/>
          <w:sz w:val="24"/>
          <w:szCs w:val="24"/>
        </w:rPr>
      </w:pPr>
      <w:r w:rsidRPr="00AB6C07">
        <w:rPr>
          <w:b/>
          <w:sz w:val="24"/>
          <w:szCs w:val="24"/>
        </w:rPr>
        <w:t xml:space="preserve">STATEMENT OF </w:t>
      </w:r>
      <w:r w:rsidR="00712ADC" w:rsidRPr="00712ADC">
        <w:rPr>
          <w:b/>
          <w:i/>
          <w:sz w:val="24"/>
          <w:szCs w:val="24"/>
        </w:rPr>
        <w:t>ACTUAL</w:t>
      </w:r>
      <w:r w:rsidR="00712ADC">
        <w:rPr>
          <w:b/>
          <w:sz w:val="24"/>
          <w:szCs w:val="24"/>
        </w:rPr>
        <w:t xml:space="preserve"> </w:t>
      </w:r>
      <w:r w:rsidRPr="00AB6C07">
        <w:rPr>
          <w:b/>
          <w:sz w:val="24"/>
          <w:szCs w:val="24"/>
        </w:rPr>
        <w:t>FACTS</w:t>
      </w:r>
    </w:p>
    <w:p w14:paraId="0225EEF5" w14:textId="77777777" w:rsidR="00AB6C07" w:rsidRPr="00AB6C07" w:rsidRDefault="00AB6C07" w:rsidP="00AB6C07">
      <w:pPr>
        <w:pStyle w:val="ListParagraph"/>
        <w:ind w:left="360"/>
        <w:jc w:val="center"/>
        <w:rPr>
          <w:b/>
          <w:sz w:val="16"/>
          <w:szCs w:val="16"/>
        </w:rPr>
      </w:pPr>
    </w:p>
    <w:p w14:paraId="044CDA7D" w14:textId="77777777" w:rsidR="00372941" w:rsidRPr="00AB6C07" w:rsidRDefault="00372941" w:rsidP="00AB6C07">
      <w:pPr>
        <w:pStyle w:val="ListParagraph"/>
        <w:spacing w:after="240" w:line="360" w:lineRule="auto"/>
        <w:ind w:left="0"/>
        <w:jc w:val="both"/>
        <w:rPr>
          <w:sz w:val="24"/>
          <w:szCs w:val="24"/>
        </w:rPr>
      </w:pPr>
      <w:r w:rsidRPr="00AB6C07">
        <w:rPr>
          <w:sz w:val="24"/>
          <w:szCs w:val="24"/>
        </w:rPr>
        <w:tab/>
        <w:t>The State’s opposition presents a sanitized and misleading version of the facts, glossing over the profound weakness of its original case and the devastating impact of the newly discovered</w:t>
      </w:r>
      <w:r w:rsidR="00AB6C07" w:rsidRPr="00AB6C07">
        <w:rPr>
          <w:sz w:val="24"/>
          <w:szCs w:val="24"/>
        </w:rPr>
        <w:t xml:space="preserve"> evidence. A full and accurate accounting reveals a conviction built not on evidence, but on the </w:t>
      </w:r>
      <w:r w:rsidR="00AB6C07" w:rsidRPr="00AB6C07">
        <w:rPr>
          <w:sz w:val="24"/>
          <w:szCs w:val="24"/>
        </w:rPr>
        <w:lastRenderedPageBreak/>
        <w:t>uncorroborated, perjured testimony of incentivized witnesses, concealed by the State’s own misconduct.</w:t>
      </w:r>
    </w:p>
    <w:p w14:paraId="1366AAB5" w14:textId="77777777" w:rsidR="00AB6C07" w:rsidRPr="00AB6C07" w:rsidRDefault="00AB6C07" w:rsidP="0072618C">
      <w:pPr>
        <w:pStyle w:val="PlainText"/>
        <w:numPr>
          <w:ilvl w:val="0"/>
          <w:numId w:val="5"/>
        </w:numPr>
        <w:spacing w:line="360" w:lineRule="auto"/>
        <w:rPr>
          <w:rFonts w:ascii="Times New Roman" w:hAnsi="Times New Roman" w:cs="Times New Roman"/>
          <w:sz w:val="24"/>
          <w:szCs w:val="24"/>
        </w:rPr>
      </w:pPr>
      <w:r w:rsidRPr="00AB6C07">
        <w:rPr>
          <w:rFonts w:ascii="Times New Roman" w:hAnsi="Times New Roman" w:cs="Times New Roman"/>
          <w:b/>
          <w:sz w:val="24"/>
          <w:szCs w:val="24"/>
        </w:rPr>
        <w:t>The State's Original Case: A Conviction Resting Entirely on Accomplice Testimony</w:t>
      </w:r>
    </w:p>
    <w:p w14:paraId="64AF9C30" w14:textId="77777777" w:rsidR="00AB6C07" w:rsidRPr="001D0B01" w:rsidRDefault="00AB6C07" w:rsidP="00AB6C07">
      <w:pPr>
        <w:pStyle w:val="PlainText"/>
        <w:rPr>
          <w:rFonts w:ascii="Times New Roman" w:hAnsi="Times New Roman" w:cs="Times New Roman"/>
          <w:sz w:val="16"/>
          <w:szCs w:val="16"/>
        </w:rPr>
      </w:pPr>
    </w:p>
    <w:p w14:paraId="4007C21B" w14:textId="77777777" w:rsidR="00AB6C07" w:rsidRPr="00AB6C07" w:rsidRDefault="00AB6C07" w:rsidP="0078147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1D0B01">
        <w:rPr>
          <w:rFonts w:ascii="Times New Roman" w:hAnsi="Times New Roman" w:cs="Times New Roman"/>
          <w:sz w:val="24"/>
          <w:szCs w:val="24"/>
        </w:rPr>
        <w:t>Movant</w:t>
      </w:r>
      <w:r w:rsidRPr="00AB6C07">
        <w:rPr>
          <w:rFonts w:ascii="Times New Roman" w:hAnsi="Times New Roman" w:cs="Times New Roman"/>
          <w:sz w:val="24"/>
          <w:szCs w:val="24"/>
        </w:rPr>
        <w:t xml:space="preserve">’s 2003 conviction for felony murder was secured without a single piece of physical or forensic evidence linking him to the crime. There were no fingerprints, no DNA, no murder weapon, and no proceeds from the alleged robbery connecting him to the murder of Andrew Titus. Instead, the prosecution relied exclusively on the testimony of two alleged accomplices, Paul Talley and Torrey Glenn, both of whom faced their own murder charges and had a powerful incentive to cooperate with the State. They claimed that </w:t>
      </w:r>
      <w:r w:rsidR="001D0B01">
        <w:rPr>
          <w:rFonts w:ascii="Times New Roman" w:hAnsi="Times New Roman" w:cs="Times New Roman"/>
          <w:sz w:val="24"/>
          <w:szCs w:val="24"/>
        </w:rPr>
        <w:t>Movant</w:t>
      </w:r>
      <w:r w:rsidRPr="00AB6C07">
        <w:rPr>
          <w:rFonts w:ascii="Times New Roman" w:hAnsi="Times New Roman" w:cs="Times New Roman"/>
          <w:sz w:val="24"/>
          <w:szCs w:val="24"/>
        </w:rPr>
        <w:t xml:space="preserve"> was one of three men who approached and shot the victim during a robbery attempt.</w:t>
      </w:r>
    </w:p>
    <w:p w14:paraId="04AE4DBE" w14:textId="77777777" w:rsidR="00AB6C07" w:rsidRPr="00AB6C07" w:rsidRDefault="00AB6C07" w:rsidP="00C92AD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Pr="00AB6C07">
        <w:rPr>
          <w:rFonts w:ascii="Times New Roman" w:hAnsi="Times New Roman" w:cs="Times New Roman"/>
          <w:sz w:val="24"/>
          <w:szCs w:val="24"/>
        </w:rPr>
        <w:t xml:space="preserve">Recognizing the inherent unreliability of this testimony, the State presented the testimony of Paul Talley’s brother, Fred Talley, as the sole piece of corroborating evidence. Fred Talley did not witness the crime. His sole contribution was to testify that </w:t>
      </w:r>
      <w:r w:rsidR="001D0B01">
        <w:rPr>
          <w:rFonts w:ascii="Times New Roman" w:hAnsi="Times New Roman" w:cs="Times New Roman"/>
          <w:sz w:val="24"/>
          <w:szCs w:val="24"/>
        </w:rPr>
        <w:t>Movant</w:t>
      </w:r>
      <w:r w:rsidRPr="00AB6C07">
        <w:rPr>
          <w:rFonts w:ascii="Times New Roman" w:hAnsi="Times New Roman" w:cs="Times New Roman"/>
          <w:sz w:val="24"/>
          <w:szCs w:val="24"/>
        </w:rPr>
        <w:t xml:space="preserve"> stopped by his home with the other co-defendants to pick up Paul Talley on the night of the murder. (D.E.</w:t>
      </w:r>
      <w:r w:rsidR="002934DC">
        <w:rPr>
          <w:rStyle w:val="FootnoteReference"/>
          <w:rFonts w:ascii="Times New Roman" w:hAnsi="Times New Roman" w:cs="Times New Roman"/>
          <w:sz w:val="24"/>
          <w:szCs w:val="24"/>
        </w:rPr>
        <w:footnoteReference w:id="1"/>
      </w:r>
      <w:r w:rsidRPr="00AB6C07">
        <w:rPr>
          <w:rFonts w:ascii="Times New Roman" w:hAnsi="Times New Roman" w:cs="Times New Roman"/>
          <w:sz w:val="24"/>
          <w:szCs w:val="24"/>
        </w:rPr>
        <w:t xml:space="preserve"> 8-1, </w:t>
      </w:r>
      <w:r w:rsidR="001D0B01">
        <w:rPr>
          <w:rFonts w:ascii="Times New Roman" w:hAnsi="Times New Roman" w:cs="Times New Roman"/>
          <w:sz w:val="24"/>
          <w:szCs w:val="24"/>
        </w:rPr>
        <w:t>Page</w:t>
      </w:r>
      <w:r w:rsidRPr="00AB6C07">
        <w:rPr>
          <w:rFonts w:ascii="Times New Roman" w:hAnsi="Times New Roman" w:cs="Times New Roman"/>
          <w:sz w:val="24"/>
          <w:szCs w:val="24"/>
        </w:rPr>
        <w:t xml:space="preserve"> 3). This testimony, from the star witness’s own brother, was the only </w:t>
      </w:r>
      <w:r w:rsidR="002934DC">
        <w:rPr>
          <w:rFonts w:ascii="Times New Roman" w:hAnsi="Times New Roman" w:cs="Times New Roman"/>
          <w:sz w:val="24"/>
          <w:szCs w:val="24"/>
        </w:rPr>
        <w:t>“</w:t>
      </w:r>
      <w:r w:rsidRPr="00AB6C07">
        <w:rPr>
          <w:rFonts w:ascii="Times New Roman" w:hAnsi="Times New Roman" w:cs="Times New Roman"/>
          <w:sz w:val="24"/>
          <w:szCs w:val="24"/>
        </w:rPr>
        <w:t>evidence</w:t>
      </w:r>
      <w:r w:rsidR="002934DC">
        <w:rPr>
          <w:rFonts w:ascii="Times New Roman" w:hAnsi="Times New Roman" w:cs="Times New Roman"/>
          <w:sz w:val="24"/>
          <w:szCs w:val="24"/>
        </w:rPr>
        <w:t>”</w:t>
      </w:r>
      <w:r w:rsidR="00712ADC">
        <w:rPr>
          <w:rFonts w:ascii="Times New Roman" w:hAnsi="Times New Roman" w:cs="Times New Roman"/>
          <w:sz w:val="24"/>
          <w:szCs w:val="24"/>
        </w:rPr>
        <w:t xml:space="preserve"> – </w:t>
      </w:r>
      <w:r w:rsidRPr="00AB6C07">
        <w:rPr>
          <w:rFonts w:ascii="Times New Roman" w:hAnsi="Times New Roman" w:cs="Times New Roman"/>
          <w:sz w:val="24"/>
          <w:szCs w:val="24"/>
        </w:rPr>
        <w:t>however thin</w:t>
      </w:r>
      <w:r w:rsidR="00712ADC">
        <w:rPr>
          <w:rFonts w:ascii="Times New Roman" w:hAnsi="Times New Roman" w:cs="Times New Roman"/>
          <w:sz w:val="24"/>
          <w:szCs w:val="24"/>
        </w:rPr>
        <w:t xml:space="preserve"> – </w:t>
      </w:r>
      <w:r w:rsidRPr="00AB6C07">
        <w:rPr>
          <w:rFonts w:ascii="Times New Roman" w:hAnsi="Times New Roman" w:cs="Times New Roman"/>
          <w:sz w:val="24"/>
          <w:szCs w:val="24"/>
        </w:rPr>
        <w:t xml:space="preserve">that placed </w:t>
      </w:r>
      <w:r w:rsidR="001D0B01">
        <w:rPr>
          <w:rFonts w:ascii="Times New Roman" w:hAnsi="Times New Roman" w:cs="Times New Roman"/>
          <w:sz w:val="24"/>
          <w:szCs w:val="24"/>
        </w:rPr>
        <w:t>Movant</w:t>
      </w:r>
      <w:r w:rsidRPr="00AB6C07">
        <w:rPr>
          <w:rFonts w:ascii="Times New Roman" w:hAnsi="Times New Roman" w:cs="Times New Roman"/>
          <w:sz w:val="24"/>
          <w:szCs w:val="24"/>
        </w:rPr>
        <w:t xml:space="preserve"> in the company of the perpetrators </w:t>
      </w:r>
      <w:r w:rsidR="002934DC">
        <w:rPr>
          <w:rFonts w:ascii="Times New Roman" w:hAnsi="Times New Roman" w:cs="Times New Roman"/>
          <w:sz w:val="24"/>
          <w:szCs w:val="24"/>
        </w:rPr>
        <w:t xml:space="preserve">on the day of the crime </w:t>
      </w:r>
      <w:r w:rsidRPr="00AB6C07">
        <w:rPr>
          <w:rFonts w:ascii="Times New Roman" w:hAnsi="Times New Roman" w:cs="Times New Roman"/>
          <w:sz w:val="24"/>
          <w:szCs w:val="24"/>
        </w:rPr>
        <w:t xml:space="preserve">and provided the crucial </w:t>
      </w:r>
      <w:r w:rsidR="002934DC">
        <w:rPr>
          <w:rFonts w:ascii="Times New Roman" w:hAnsi="Times New Roman" w:cs="Times New Roman"/>
          <w:sz w:val="24"/>
          <w:szCs w:val="24"/>
        </w:rPr>
        <w:t>“</w:t>
      </w:r>
      <w:r w:rsidRPr="00AB6C07">
        <w:rPr>
          <w:rFonts w:ascii="Times New Roman" w:hAnsi="Times New Roman" w:cs="Times New Roman"/>
          <w:sz w:val="24"/>
          <w:szCs w:val="24"/>
        </w:rPr>
        <w:t>corroboration</w:t>
      </w:r>
      <w:r w:rsidR="002934DC">
        <w:rPr>
          <w:rFonts w:ascii="Times New Roman" w:hAnsi="Times New Roman" w:cs="Times New Roman"/>
          <w:sz w:val="24"/>
          <w:szCs w:val="24"/>
        </w:rPr>
        <w:t>”</w:t>
      </w:r>
      <w:r w:rsidRPr="00AB6C07">
        <w:rPr>
          <w:rFonts w:ascii="Times New Roman" w:hAnsi="Times New Roman" w:cs="Times New Roman"/>
          <w:sz w:val="24"/>
          <w:szCs w:val="24"/>
        </w:rPr>
        <w:t xml:space="preserve"> required under Tennessee law. The jury’s verdict rested entirely on crediting these three witnesses.</w:t>
      </w:r>
    </w:p>
    <w:p w14:paraId="2DE933E3" w14:textId="77777777" w:rsidR="00AB6C07" w:rsidRPr="00AB6C07" w:rsidRDefault="0072618C" w:rsidP="00AC7ADA">
      <w:pPr>
        <w:pStyle w:val="PlainText"/>
        <w:spacing w:line="360" w:lineRule="auto"/>
        <w:ind w:left="360" w:hanging="360"/>
        <w:rPr>
          <w:rFonts w:ascii="Times New Roman" w:hAnsi="Times New Roman" w:cs="Times New Roman"/>
          <w:b/>
          <w:sz w:val="24"/>
          <w:szCs w:val="24"/>
        </w:rPr>
      </w:pPr>
      <w:r>
        <w:rPr>
          <w:rFonts w:ascii="Times New Roman" w:hAnsi="Times New Roman" w:cs="Times New Roman"/>
          <w:b/>
          <w:sz w:val="24"/>
          <w:szCs w:val="24"/>
        </w:rPr>
        <w:tab/>
      </w:r>
      <w:r w:rsidR="00AB6C07" w:rsidRPr="00AB6C07">
        <w:rPr>
          <w:rFonts w:ascii="Times New Roman" w:hAnsi="Times New Roman" w:cs="Times New Roman"/>
          <w:b/>
          <w:sz w:val="24"/>
          <w:szCs w:val="24"/>
        </w:rPr>
        <w:t>B.</w:t>
      </w:r>
      <w:r>
        <w:rPr>
          <w:rFonts w:ascii="Times New Roman" w:hAnsi="Times New Roman" w:cs="Times New Roman"/>
          <w:b/>
          <w:sz w:val="24"/>
          <w:szCs w:val="24"/>
        </w:rPr>
        <w:tab/>
      </w:r>
      <w:r w:rsidR="00AB6C07" w:rsidRPr="00AB6C07">
        <w:rPr>
          <w:rFonts w:ascii="Times New Roman" w:hAnsi="Times New Roman" w:cs="Times New Roman"/>
          <w:b/>
          <w:sz w:val="24"/>
          <w:szCs w:val="24"/>
        </w:rPr>
        <w:t>The Unearthing of Decades-Old Suppressed Evidence and New Recantations</w:t>
      </w:r>
    </w:p>
    <w:p w14:paraId="66785857" w14:textId="77777777" w:rsidR="00AB6C07" w:rsidRPr="001D0B01" w:rsidRDefault="00AB6C07" w:rsidP="0072618C">
      <w:pPr>
        <w:pStyle w:val="PlainText"/>
        <w:rPr>
          <w:rFonts w:ascii="Times New Roman" w:hAnsi="Times New Roman" w:cs="Times New Roman"/>
          <w:sz w:val="16"/>
          <w:szCs w:val="16"/>
        </w:rPr>
      </w:pPr>
    </w:p>
    <w:p w14:paraId="31E1E962" w14:textId="77777777" w:rsidR="00AB6C07" w:rsidRPr="00AB6C07" w:rsidRDefault="00AB6C07"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AB6C07">
        <w:rPr>
          <w:rFonts w:ascii="Times New Roman" w:hAnsi="Times New Roman" w:cs="Times New Roman"/>
          <w:sz w:val="24"/>
          <w:szCs w:val="24"/>
        </w:rPr>
        <w:t xml:space="preserve">For two decades, the inherent unreliability of this accomplice-based conviction remained hidden beneath layers of State suppression. In 2023, new counsel, in a last-ditch effort to prove </w:t>
      </w:r>
      <w:r w:rsidR="001D0B01">
        <w:rPr>
          <w:rFonts w:ascii="Times New Roman" w:hAnsi="Times New Roman" w:cs="Times New Roman"/>
          <w:sz w:val="24"/>
          <w:szCs w:val="24"/>
        </w:rPr>
        <w:t>Movant</w:t>
      </w:r>
      <w:r w:rsidRPr="00AB6C07">
        <w:rPr>
          <w:rFonts w:ascii="Times New Roman" w:hAnsi="Times New Roman" w:cs="Times New Roman"/>
          <w:sz w:val="24"/>
          <w:szCs w:val="24"/>
        </w:rPr>
        <w:t>’s innocence, undertook an exhaustive review of all related case files and unearthed the following evidence, the factual predicate of which could not have been discovered previously.</w:t>
      </w:r>
    </w:p>
    <w:p w14:paraId="42C31E08" w14:textId="77777777" w:rsidR="00AB6C07" w:rsidRPr="00AB6C07" w:rsidRDefault="00AB6C07" w:rsidP="0072618C">
      <w:pPr>
        <w:pStyle w:val="PlainText"/>
        <w:rPr>
          <w:rFonts w:ascii="Times New Roman" w:hAnsi="Times New Roman" w:cs="Times New Roman"/>
          <w:sz w:val="24"/>
          <w:szCs w:val="24"/>
        </w:rPr>
      </w:pPr>
    </w:p>
    <w:p w14:paraId="5263F30B" w14:textId="77777777" w:rsidR="00AB6C07" w:rsidRPr="00AB6C07" w:rsidRDefault="0072618C" w:rsidP="00AC7ADA">
      <w:pPr>
        <w:pStyle w:val="PlainText"/>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AB6C07" w:rsidRPr="00AB6C07">
        <w:rPr>
          <w:rFonts w:ascii="Times New Roman" w:hAnsi="Times New Roman" w:cs="Times New Roman"/>
          <w:b/>
          <w:sz w:val="24"/>
          <w:szCs w:val="24"/>
        </w:rPr>
        <w:t>1.  The Suppressed 1999 Paul Talley Interview.</w:t>
      </w:r>
      <w:r w:rsidR="00AB6C07" w:rsidRPr="00AB6C07">
        <w:rPr>
          <w:rFonts w:ascii="Times New Roman" w:hAnsi="Times New Roman" w:cs="Times New Roman"/>
          <w:sz w:val="24"/>
          <w:szCs w:val="24"/>
        </w:rPr>
        <w:t xml:space="preserve"> Counsel discovered a recorded police interview of Paul Talley, dated April 14, 1999, buried in the State’s file for a separate, earlier murder case (No. 99-C-1796). In the interview, Paul Talley tells detectives, “I know who did it... </w:t>
      </w:r>
      <w:r w:rsidR="00AB6C07" w:rsidRPr="00AB6C07">
        <w:rPr>
          <w:rFonts w:ascii="Times New Roman" w:hAnsi="Times New Roman" w:cs="Times New Roman"/>
          <w:sz w:val="24"/>
          <w:szCs w:val="24"/>
        </w:rPr>
        <w:lastRenderedPageBreak/>
        <w:t xml:space="preserve">[A]nd the dude that killed the little 18-year-old is Leevale’s brother.” (D.E. 8-1, </w:t>
      </w:r>
      <w:r w:rsidR="001D0B01">
        <w:rPr>
          <w:rFonts w:ascii="Times New Roman" w:hAnsi="Times New Roman" w:cs="Times New Roman"/>
          <w:sz w:val="24"/>
          <w:szCs w:val="24"/>
        </w:rPr>
        <w:t>Page</w:t>
      </w:r>
      <w:r w:rsidR="00AB6C07" w:rsidRPr="00AB6C07">
        <w:rPr>
          <w:rFonts w:ascii="Times New Roman" w:hAnsi="Times New Roman" w:cs="Times New Roman"/>
          <w:sz w:val="24"/>
          <w:szCs w:val="24"/>
        </w:rPr>
        <w:t xml:space="preserve"> 15). “Leevale” is co-defendant Torrey Leevale Glenn. Conspicuously absent from Talley’s contemporaneous account to police</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given long before any plea offer was contemplated</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 xml:space="preserve">is any mention of </w:t>
      </w:r>
      <w:r w:rsidR="00712ADC">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This exculpatory statement, identifying another perpetrator and omitting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entirely, was never disclosed to the defense.</w:t>
      </w:r>
    </w:p>
    <w:p w14:paraId="5F6FDA8A" w14:textId="77777777" w:rsidR="00AB6C07" w:rsidRPr="00AB6C07" w:rsidRDefault="00AB6C07" w:rsidP="0072618C">
      <w:pPr>
        <w:pStyle w:val="PlainText"/>
        <w:jc w:val="both"/>
        <w:rPr>
          <w:rFonts w:ascii="Times New Roman" w:hAnsi="Times New Roman" w:cs="Times New Roman"/>
          <w:sz w:val="24"/>
          <w:szCs w:val="24"/>
        </w:rPr>
      </w:pPr>
    </w:p>
    <w:p w14:paraId="611FCF66" w14:textId="77777777" w:rsidR="00AB6C07" w:rsidRPr="00AB6C07" w:rsidRDefault="0072618C" w:rsidP="00AC7ADA">
      <w:pPr>
        <w:pStyle w:val="PlainText"/>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AB6C07" w:rsidRPr="00AB6C07">
        <w:rPr>
          <w:rFonts w:ascii="Times New Roman" w:hAnsi="Times New Roman" w:cs="Times New Roman"/>
          <w:b/>
          <w:sz w:val="24"/>
          <w:szCs w:val="24"/>
        </w:rPr>
        <w:t>2.  The Suppressed Prosecutor's Letter.</w:t>
      </w:r>
      <w:r w:rsidR="00AB6C07" w:rsidRPr="00AB6C07">
        <w:rPr>
          <w:rFonts w:ascii="Times New Roman" w:hAnsi="Times New Roman" w:cs="Times New Roman"/>
          <w:sz w:val="24"/>
          <w:szCs w:val="24"/>
        </w:rPr>
        <w:t xml:space="preserve"> Counsel also discovered a letter dated October 31, 2003, from prosecutor Lisa Naylor to the parole board, located within the prosecutor's own file for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's case (No. 2002-A-446). In the letter, the prosecutor advocates for leniency for Paul Talley and reveals the nature of their pre-testimony discussions, stating: “I only told him I would take his assistance under consideration if he testified truthfully.” (D.E. 8-1, </w:t>
      </w:r>
      <w:r w:rsidR="001D0B01">
        <w:rPr>
          <w:rFonts w:ascii="Times New Roman" w:hAnsi="Times New Roman" w:cs="Times New Roman"/>
          <w:sz w:val="24"/>
          <w:szCs w:val="24"/>
        </w:rPr>
        <w:t>Page</w:t>
      </w:r>
      <w:r w:rsidR="00AB6C07" w:rsidRPr="00AB6C07">
        <w:rPr>
          <w:rFonts w:ascii="Times New Roman" w:hAnsi="Times New Roman" w:cs="Times New Roman"/>
          <w:sz w:val="24"/>
          <w:szCs w:val="24"/>
        </w:rPr>
        <w:t xml:space="preserve"> 14). This admission of an undisclosed inducement directly contradicts Paul Talley’s trial testimony, where he denied any such agreement existed and claimed he only “hope[d] to get something out of it.” (D.E. 8-1, </w:t>
      </w:r>
      <w:r w:rsidR="001D0B01">
        <w:rPr>
          <w:rFonts w:ascii="Times New Roman" w:hAnsi="Times New Roman" w:cs="Times New Roman"/>
          <w:sz w:val="24"/>
          <w:szCs w:val="24"/>
        </w:rPr>
        <w:t>Page</w:t>
      </w:r>
      <w:r w:rsidR="00AB6C07" w:rsidRPr="00AB6C07">
        <w:rPr>
          <w:rFonts w:ascii="Times New Roman" w:hAnsi="Times New Roman" w:cs="Times New Roman"/>
          <w:sz w:val="24"/>
          <w:szCs w:val="24"/>
        </w:rPr>
        <w:t xml:space="preserve"> 3). This letter, proving a </w:t>
      </w:r>
      <w:r w:rsidR="001D0B01" w:rsidRPr="00781475">
        <w:rPr>
          <w:rFonts w:ascii="Times New Roman" w:hAnsi="Times New Roman" w:cs="Times New Roman"/>
          <w:i/>
          <w:sz w:val="24"/>
          <w:szCs w:val="24"/>
        </w:rPr>
        <w:t>Giglio</w:t>
      </w:r>
      <w:r w:rsidR="00AB6C07" w:rsidRPr="00AB6C07">
        <w:rPr>
          <w:rFonts w:ascii="Times New Roman" w:hAnsi="Times New Roman" w:cs="Times New Roman"/>
          <w:sz w:val="24"/>
          <w:szCs w:val="24"/>
        </w:rPr>
        <w:t xml:space="preserve"> violation, was never turned over to the defense</w:t>
      </w:r>
      <w:r w:rsidR="00F57057">
        <w:rPr>
          <w:rFonts w:ascii="Times New Roman" w:hAnsi="Times New Roman" w:cs="Times New Roman"/>
          <w:sz w:val="24"/>
          <w:szCs w:val="24"/>
        </w:rPr>
        <w:t xml:space="preserve"> – including at Movant’s previous state court coram nobis hearing </w:t>
      </w:r>
      <w:r w:rsidR="00D21834">
        <w:rPr>
          <w:rFonts w:ascii="Times New Roman" w:hAnsi="Times New Roman" w:cs="Times New Roman"/>
          <w:sz w:val="24"/>
          <w:szCs w:val="24"/>
        </w:rPr>
        <w:t>o</w:t>
      </w:r>
      <w:r w:rsidR="00F57057">
        <w:rPr>
          <w:rFonts w:ascii="Times New Roman" w:hAnsi="Times New Roman" w:cs="Times New Roman"/>
          <w:sz w:val="24"/>
          <w:szCs w:val="24"/>
        </w:rPr>
        <w:t>n</w:t>
      </w:r>
      <w:r w:rsidR="00D21834">
        <w:rPr>
          <w:rFonts w:ascii="Times New Roman" w:hAnsi="Times New Roman" w:cs="Times New Roman"/>
          <w:sz w:val="24"/>
          <w:szCs w:val="24"/>
        </w:rPr>
        <w:t xml:space="preserve"> February 18,</w:t>
      </w:r>
      <w:r w:rsidR="00F57057">
        <w:rPr>
          <w:rFonts w:ascii="Times New Roman" w:hAnsi="Times New Roman" w:cs="Times New Roman"/>
          <w:sz w:val="24"/>
          <w:szCs w:val="24"/>
        </w:rPr>
        <w:t xml:space="preserve"> 201</w:t>
      </w:r>
      <w:r w:rsidR="00D21834">
        <w:rPr>
          <w:rFonts w:ascii="Times New Roman" w:hAnsi="Times New Roman" w:cs="Times New Roman"/>
          <w:sz w:val="24"/>
          <w:szCs w:val="24"/>
        </w:rPr>
        <w:t>4</w:t>
      </w:r>
      <w:r w:rsidR="00AB6C07" w:rsidRPr="00AB6C07">
        <w:rPr>
          <w:rFonts w:ascii="Times New Roman" w:hAnsi="Times New Roman" w:cs="Times New Roman"/>
          <w:sz w:val="24"/>
          <w:szCs w:val="24"/>
        </w:rPr>
        <w:t>.</w:t>
      </w:r>
    </w:p>
    <w:p w14:paraId="1C647225" w14:textId="77777777" w:rsidR="00AB6C07" w:rsidRPr="00AB6C07" w:rsidRDefault="00AB6C07" w:rsidP="0072618C">
      <w:pPr>
        <w:pStyle w:val="PlainText"/>
        <w:jc w:val="both"/>
        <w:rPr>
          <w:rFonts w:ascii="Times New Roman" w:hAnsi="Times New Roman" w:cs="Times New Roman"/>
          <w:sz w:val="24"/>
          <w:szCs w:val="24"/>
        </w:rPr>
      </w:pPr>
    </w:p>
    <w:p w14:paraId="547BB31B" w14:textId="77777777" w:rsidR="00AB6C07" w:rsidRPr="00AB6C07" w:rsidRDefault="0072618C" w:rsidP="00C92AD5">
      <w:pPr>
        <w:pStyle w:val="PlainText"/>
        <w:spacing w:after="240" w:line="360" w:lineRule="auto"/>
        <w:jc w:val="both"/>
        <w:rPr>
          <w:rFonts w:ascii="Times New Roman" w:hAnsi="Times New Roman" w:cs="Times New Roman"/>
          <w:sz w:val="24"/>
          <w:szCs w:val="24"/>
        </w:rPr>
      </w:pPr>
      <w:r>
        <w:rPr>
          <w:rFonts w:ascii="Times New Roman" w:hAnsi="Times New Roman" w:cs="Times New Roman"/>
          <w:b/>
          <w:sz w:val="24"/>
          <w:szCs w:val="24"/>
        </w:rPr>
        <w:tab/>
      </w:r>
      <w:r w:rsidR="00AB6C07" w:rsidRPr="00AB6C07">
        <w:rPr>
          <w:rFonts w:ascii="Times New Roman" w:hAnsi="Times New Roman" w:cs="Times New Roman"/>
          <w:b/>
          <w:sz w:val="24"/>
          <w:szCs w:val="24"/>
        </w:rPr>
        <w:t>3.  The Recantation of Fred Talley.</w:t>
      </w:r>
      <w:r w:rsidR="00AB6C07" w:rsidRPr="00AB6C07">
        <w:rPr>
          <w:rFonts w:ascii="Times New Roman" w:hAnsi="Times New Roman" w:cs="Times New Roman"/>
          <w:sz w:val="24"/>
          <w:szCs w:val="24"/>
        </w:rPr>
        <w:t xml:space="preserve"> Finally, on March 13, 2024, Fred Talley executed a sworn affidavit, and later testified in open court, that his trial testimony was a complete fabrication. He admitted that he lied and that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never came to his house on the night of the crime. He confessed that he perjured himself specifically to “help my brother Paul Talley with his charge.” (D.E. 8-1, </w:t>
      </w:r>
      <w:r w:rsidR="001D0B01">
        <w:rPr>
          <w:rFonts w:ascii="Times New Roman" w:hAnsi="Times New Roman" w:cs="Times New Roman"/>
          <w:sz w:val="24"/>
          <w:szCs w:val="24"/>
        </w:rPr>
        <w:t>Page</w:t>
      </w:r>
      <w:r w:rsidR="00AB6C07" w:rsidRPr="00AB6C07">
        <w:rPr>
          <w:rFonts w:ascii="Times New Roman" w:hAnsi="Times New Roman" w:cs="Times New Roman"/>
          <w:sz w:val="24"/>
          <w:szCs w:val="24"/>
        </w:rPr>
        <w:t xml:space="preserve"> 18). This recantation eviscerates the sole piece of non-accomplice </w:t>
      </w:r>
      <w:r w:rsidR="00F57057">
        <w:rPr>
          <w:rFonts w:ascii="Times New Roman" w:hAnsi="Times New Roman" w:cs="Times New Roman"/>
          <w:sz w:val="24"/>
          <w:szCs w:val="24"/>
        </w:rPr>
        <w:t>“</w:t>
      </w:r>
      <w:r w:rsidR="00AB6C07" w:rsidRPr="00AB6C07">
        <w:rPr>
          <w:rFonts w:ascii="Times New Roman" w:hAnsi="Times New Roman" w:cs="Times New Roman"/>
          <w:sz w:val="24"/>
          <w:szCs w:val="24"/>
        </w:rPr>
        <w:t>corroboration</w:t>
      </w:r>
      <w:r w:rsidR="00F57057">
        <w:rPr>
          <w:rFonts w:ascii="Times New Roman" w:hAnsi="Times New Roman" w:cs="Times New Roman"/>
          <w:sz w:val="24"/>
          <w:szCs w:val="24"/>
        </w:rPr>
        <w:t>”</w:t>
      </w:r>
      <w:r w:rsidR="00AB6C07" w:rsidRPr="00AB6C07">
        <w:rPr>
          <w:rFonts w:ascii="Times New Roman" w:hAnsi="Times New Roman" w:cs="Times New Roman"/>
          <w:sz w:val="24"/>
          <w:szCs w:val="24"/>
        </w:rPr>
        <w:t xml:space="preserve"> that propped up the State’s case.</w:t>
      </w:r>
    </w:p>
    <w:p w14:paraId="2892FF75" w14:textId="77777777" w:rsidR="00AB6C07" w:rsidRPr="00AB6C07" w:rsidRDefault="0072618C" w:rsidP="0072618C">
      <w:pPr>
        <w:pStyle w:val="PlainText"/>
        <w:spacing w:line="360" w:lineRule="auto"/>
        <w:ind w:left="360" w:hanging="360"/>
        <w:jc w:val="both"/>
        <w:rPr>
          <w:rFonts w:ascii="Times New Roman" w:hAnsi="Times New Roman" w:cs="Times New Roman"/>
          <w:b/>
          <w:sz w:val="24"/>
          <w:szCs w:val="24"/>
        </w:rPr>
      </w:pPr>
      <w:r>
        <w:rPr>
          <w:rFonts w:ascii="Times New Roman" w:hAnsi="Times New Roman" w:cs="Times New Roman"/>
          <w:b/>
          <w:sz w:val="24"/>
          <w:szCs w:val="24"/>
        </w:rPr>
        <w:tab/>
      </w:r>
      <w:r w:rsidR="00AB6C07" w:rsidRPr="00AB6C07">
        <w:rPr>
          <w:rFonts w:ascii="Times New Roman" w:hAnsi="Times New Roman" w:cs="Times New Roman"/>
          <w:b/>
          <w:sz w:val="24"/>
          <w:szCs w:val="24"/>
        </w:rPr>
        <w:t>C.</w:t>
      </w:r>
      <w:r>
        <w:rPr>
          <w:rFonts w:ascii="Times New Roman" w:hAnsi="Times New Roman" w:cs="Times New Roman"/>
          <w:b/>
          <w:sz w:val="24"/>
          <w:szCs w:val="24"/>
        </w:rPr>
        <w:tab/>
      </w:r>
      <w:r w:rsidR="00AB6C07" w:rsidRPr="00AB6C07">
        <w:rPr>
          <w:rFonts w:ascii="Times New Roman" w:hAnsi="Times New Roman" w:cs="Times New Roman"/>
          <w:b/>
          <w:sz w:val="24"/>
          <w:szCs w:val="24"/>
        </w:rPr>
        <w:t>The State Court's Procedurally Barred and Substantively Flawed Rulings</w:t>
      </w:r>
    </w:p>
    <w:p w14:paraId="2A5EED84" w14:textId="77777777" w:rsidR="00AB6C07" w:rsidRPr="001D0B01" w:rsidRDefault="00AB6C07" w:rsidP="0072618C">
      <w:pPr>
        <w:pStyle w:val="PlainText"/>
        <w:jc w:val="both"/>
        <w:rPr>
          <w:rFonts w:ascii="Times New Roman" w:hAnsi="Times New Roman" w:cs="Times New Roman"/>
          <w:sz w:val="16"/>
          <w:szCs w:val="16"/>
        </w:rPr>
      </w:pPr>
    </w:p>
    <w:p w14:paraId="16CABBC5" w14:textId="77777777" w:rsidR="00AB6C07" w:rsidRPr="00AB6C07" w:rsidRDefault="0072618C" w:rsidP="0072618C">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presented this newly discovered evidence to the Davidson County Criminal Court, which dismissed his petitions as time-barred. The State now improperly urges this Court to adopt the state court’s flawed reasoning. The state court’s finding that the 1999 interview was “known to the Petitioner” (D.E. 8-1, </w:t>
      </w:r>
      <w:r w:rsidR="001D0B01">
        <w:rPr>
          <w:rFonts w:ascii="Times New Roman" w:hAnsi="Times New Roman" w:cs="Times New Roman"/>
          <w:sz w:val="24"/>
          <w:szCs w:val="24"/>
        </w:rPr>
        <w:t>Page</w:t>
      </w:r>
      <w:r w:rsidR="00AB6C07" w:rsidRPr="00AB6C07">
        <w:rPr>
          <w:rFonts w:ascii="Times New Roman" w:hAnsi="Times New Roman" w:cs="Times New Roman"/>
          <w:sz w:val="24"/>
          <w:szCs w:val="24"/>
        </w:rPr>
        <w:t xml:space="preserve"> 10) is a conclusory finding based on speculation, not a finding of historical fact entitled to deference. It is </w:t>
      </w:r>
      <w:r w:rsidR="00F57057">
        <w:rPr>
          <w:rFonts w:ascii="Times New Roman" w:hAnsi="Times New Roman" w:cs="Times New Roman"/>
          <w:sz w:val="24"/>
          <w:szCs w:val="24"/>
        </w:rPr>
        <w:t xml:space="preserve">counter to all logic and </w:t>
      </w:r>
      <w:r w:rsidR="00AB6C07" w:rsidRPr="00AB6C07">
        <w:rPr>
          <w:rFonts w:ascii="Times New Roman" w:hAnsi="Times New Roman" w:cs="Times New Roman"/>
          <w:sz w:val="24"/>
          <w:szCs w:val="24"/>
        </w:rPr>
        <w:t xml:space="preserve">directly contradicted by the record, including the testimony of trial counsel, who could not recall receiving the tape, and the fact that her file was destroyed in a fire. (D.E. 8-2, </w:t>
      </w:r>
      <w:r w:rsidR="001D0B01">
        <w:rPr>
          <w:rFonts w:ascii="Times New Roman" w:hAnsi="Times New Roman" w:cs="Times New Roman"/>
          <w:sz w:val="24"/>
          <w:szCs w:val="24"/>
        </w:rPr>
        <w:t>Page</w:t>
      </w:r>
      <w:r w:rsidR="00AB6C07" w:rsidRPr="00AB6C07">
        <w:rPr>
          <w:rFonts w:ascii="Times New Roman" w:hAnsi="Times New Roman" w:cs="Times New Roman"/>
          <w:sz w:val="24"/>
          <w:szCs w:val="24"/>
        </w:rPr>
        <w:t xml:space="preserve"> 8).</w:t>
      </w:r>
    </w:p>
    <w:p w14:paraId="7A922DBC" w14:textId="77777777" w:rsidR="00AB6C07" w:rsidRPr="00AB6C07" w:rsidRDefault="0072618C"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AB6C07" w:rsidRPr="00AB6C07">
        <w:rPr>
          <w:rFonts w:ascii="Times New Roman" w:hAnsi="Times New Roman" w:cs="Times New Roman"/>
          <w:sz w:val="24"/>
          <w:szCs w:val="24"/>
        </w:rPr>
        <w:t xml:space="preserve">Furthermore, the state court committed clear legal error by analyzing each piece of new evidence in isolation. It failed to consider the cumulative, synergistic impact of the new evidence, as required by federal habeas law. See </w:t>
      </w:r>
      <w:r w:rsidR="00AB6C07" w:rsidRPr="002934DC">
        <w:rPr>
          <w:rFonts w:ascii="Times New Roman" w:hAnsi="Times New Roman" w:cs="Times New Roman"/>
          <w:i/>
          <w:sz w:val="24"/>
          <w:szCs w:val="24"/>
        </w:rPr>
        <w:t>House v. Bell</w:t>
      </w:r>
      <w:r w:rsidR="00AB6C07" w:rsidRPr="00AB6C07">
        <w:rPr>
          <w:rFonts w:ascii="Times New Roman" w:hAnsi="Times New Roman" w:cs="Times New Roman"/>
          <w:sz w:val="24"/>
          <w:szCs w:val="24"/>
        </w:rPr>
        <w:t xml:space="preserve">, 547 U.S. 518, 538 (2006). It dismissed the 1999 interview by misapplying the felony-murder rule, ignoring that the interview exculpates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from the underlying robbery itself, not just the shooting. (D.E. 8-3, </w:t>
      </w:r>
      <w:r w:rsidR="001D0B01">
        <w:rPr>
          <w:rFonts w:ascii="Times New Roman" w:hAnsi="Times New Roman" w:cs="Times New Roman"/>
          <w:sz w:val="24"/>
          <w:szCs w:val="24"/>
        </w:rPr>
        <w:t>Page</w:t>
      </w:r>
      <w:r w:rsidR="00AB6C07" w:rsidRPr="00AB6C07">
        <w:rPr>
          <w:rFonts w:ascii="Times New Roman" w:hAnsi="Times New Roman" w:cs="Times New Roman"/>
          <w:sz w:val="24"/>
          <w:szCs w:val="24"/>
        </w:rPr>
        <w:t xml:space="preserve"> 6-7). These flawed state-court rulings, focused on state procedural bars, do not control this Court’s independent, gatekeeping analysis under § 2244(b).</w:t>
      </w:r>
    </w:p>
    <w:p w14:paraId="54F175D7" w14:textId="77777777" w:rsidR="00AB6C07" w:rsidRPr="001D0B01" w:rsidRDefault="00AB6C07" w:rsidP="00AB6C07">
      <w:pPr>
        <w:pStyle w:val="PlainText"/>
        <w:spacing w:line="360" w:lineRule="auto"/>
        <w:rPr>
          <w:rFonts w:ascii="Times New Roman" w:hAnsi="Times New Roman" w:cs="Times New Roman"/>
          <w:sz w:val="16"/>
          <w:szCs w:val="16"/>
        </w:rPr>
      </w:pPr>
    </w:p>
    <w:p w14:paraId="4E428C5A" w14:textId="77777777" w:rsidR="00AB6C07" w:rsidRPr="00AB6C07" w:rsidRDefault="00AB6C07" w:rsidP="008A3D53">
      <w:pPr>
        <w:pStyle w:val="PlainText"/>
        <w:jc w:val="center"/>
        <w:rPr>
          <w:rFonts w:ascii="Times New Roman" w:hAnsi="Times New Roman" w:cs="Times New Roman"/>
          <w:b/>
          <w:sz w:val="24"/>
          <w:szCs w:val="24"/>
        </w:rPr>
      </w:pPr>
      <w:r w:rsidRPr="00AB6C07">
        <w:rPr>
          <w:rFonts w:ascii="Times New Roman" w:hAnsi="Times New Roman" w:cs="Times New Roman"/>
          <w:b/>
          <w:sz w:val="24"/>
          <w:szCs w:val="24"/>
        </w:rPr>
        <w:t>III. LEGAL ARGUMENT</w:t>
      </w:r>
    </w:p>
    <w:p w14:paraId="6A0F2AF7" w14:textId="77777777" w:rsidR="00AB6C07" w:rsidRPr="008A3D53" w:rsidRDefault="00AB6C07" w:rsidP="00AB6C07">
      <w:pPr>
        <w:pStyle w:val="PlainText"/>
        <w:spacing w:line="360" w:lineRule="auto"/>
        <w:rPr>
          <w:rFonts w:ascii="Times New Roman" w:hAnsi="Times New Roman" w:cs="Times New Roman"/>
          <w:sz w:val="16"/>
          <w:szCs w:val="16"/>
        </w:rPr>
      </w:pPr>
    </w:p>
    <w:p w14:paraId="62F03080" w14:textId="77777777" w:rsidR="00AB6C07" w:rsidRPr="00AB6C07" w:rsidRDefault="0072618C"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The State’s opposition fundamentally misapprehends this Court’s role at this preliminary stage and misconstrues the powerful constitutional claims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now raises.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is not required to definitively prove his claims at this juncture; he need only make a prima facie showing that they warrant further review. </w:t>
      </w:r>
      <w:r w:rsidR="002934DC">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has easily met that standard by presenting colorable, well-supported claims under </w:t>
      </w:r>
      <w:r w:rsidR="001D0B01" w:rsidRPr="00781475">
        <w:rPr>
          <w:rFonts w:ascii="Times New Roman" w:hAnsi="Times New Roman" w:cs="Times New Roman"/>
          <w:i/>
          <w:sz w:val="24"/>
          <w:szCs w:val="24"/>
        </w:rPr>
        <w:t>Brady</w:t>
      </w:r>
      <w:r w:rsidR="00AB6C07" w:rsidRPr="00AB6C07">
        <w:rPr>
          <w:rFonts w:ascii="Times New Roman" w:hAnsi="Times New Roman" w:cs="Times New Roman"/>
          <w:sz w:val="24"/>
          <w:szCs w:val="24"/>
        </w:rPr>
        <w:t xml:space="preserve"> and </w:t>
      </w:r>
      <w:r w:rsidR="001D0B01" w:rsidRPr="00781475">
        <w:rPr>
          <w:rFonts w:ascii="Times New Roman" w:hAnsi="Times New Roman" w:cs="Times New Roman"/>
          <w:i/>
          <w:sz w:val="24"/>
          <w:szCs w:val="24"/>
        </w:rPr>
        <w:t>Giglio</w:t>
      </w:r>
      <w:r w:rsidR="00AB6C07" w:rsidRPr="00AB6C07">
        <w:rPr>
          <w:rFonts w:ascii="Times New Roman" w:hAnsi="Times New Roman" w:cs="Times New Roman"/>
          <w:sz w:val="24"/>
          <w:szCs w:val="24"/>
        </w:rPr>
        <w:t xml:space="preserve"> that were previously undiscoverable and which point directly to </w:t>
      </w:r>
      <w:r w:rsidR="002934DC">
        <w:rPr>
          <w:rFonts w:ascii="Times New Roman" w:hAnsi="Times New Roman" w:cs="Times New Roman"/>
          <w:sz w:val="24"/>
          <w:szCs w:val="24"/>
        </w:rPr>
        <w:t>Movant’s</w:t>
      </w:r>
      <w:r w:rsidR="00AB6C07" w:rsidRPr="00AB6C07">
        <w:rPr>
          <w:rFonts w:ascii="Times New Roman" w:hAnsi="Times New Roman" w:cs="Times New Roman"/>
          <w:sz w:val="24"/>
          <w:szCs w:val="24"/>
        </w:rPr>
        <w:t xml:space="preserve"> actual innocence.</w:t>
      </w:r>
    </w:p>
    <w:p w14:paraId="3381987C" w14:textId="77777777" w:rsidR="00AB6C07" w:rsidRPr="008A3D53" w:rsidRDefault="00AB6C07" w:rsidP="00AB6C07">
      <w:pPr>
        <w:pStyle w:val="PlainText"/>
        <w:spacing w:line="360" w:lineRule="auto"/>
        <w:rPr>
          <w:rFonts w:ascii="Times New Roman" w:hAnsi="Times New Roman" w:cs="Times New Roman"/>
          <w:sz w:val="16"/>
          <w:szCs w:val="16"/>
        </w:rPr>
      </w:pPr>
    </w:p>
    <w:p w14:paraId="0DC39BCD" w14:textId="77777777" w:rsidR="00AB6C07" w:rsidRPr="00AB6C07" w:rsidRDefault="00AB6C07" w:rsidP="008A3D53">
      <w:pPr>
        <w:pStyle w:val="PlainText"/>
        <w:numPr>
          <w:ilvl w:val="0"/>
          <w:numId w:val="6"/>
        </w:numPr>
        <w:spacing w:line="276" w:lineRule="auto"/>
        <w:rPr>
          <w:rFonts w:ascii="Times New Roman" w:hAnsi="Times New Roman" w:cs="Times New Roman"/>
          <w:b/>
          <w:sz w:val="24"/>
          <w:szCs w:val="24"/>
        </w:rPr>
      </w:pPr>
      <w:r w:rsidRPr="00AB6C07">
        <w:rPr>
          <w:rFonts w:ascii="Times New Roman" w:hAnsi="Times New Roman" w:cs="Times New Roman"/>
          <w:b/>
          <w:sz w:val="24"/>
          <w:szCs w:val="24"/>
        </w:rPr>
        <w:t>The Standard for Authorization Requires Only a Prima Facie Showing, Not a Final Merits Determination.</w:t>
      </w:r>
    </w:p>
    <w:p w14:paraId="243CB747" w14:textId="77777777" w:rsidR="00AB6C07" w:rsidRPr="008A3D53" w:rsidRDefault="00AB6C07" w:rsidP="00AB6C07">
      <w:pPr>
        <w:pStyle w:val="PlainText"/>
        <w:spacing w:line="360" w:lineRule="auto"/>
        <w:rPr>
          <w:rFonts w:ascii="Times New Roman" w:hAnsi="Times New Roman" w:cs="Times New Roman"/>
          <w:sz w:val="16"/>
          <w:szCs w:val="16"/>
        </w:rPr>
      </w:pPr>
    </w:p>
    <w:p w14:paraId="484FF449" w14:textId="77777777" w:rsidR="00AB6C07" w:rsidRPr="00AB6C07" w:rsidRDefault="008A3D53" w:rsidP="0078147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This Court’s function under 28 U.S.C. § 2244(b) is a limited, gatekeeping one. The statute requires a petitioner to make a “prima facie showing” that the application satisfies the statutory requirements. 28 U.S.C. § 2244(b)(3)(C). This Court has defined “prima facie” to mean “sufficient allegations of fact together with some documentation” that would “‘warrant a fuller exploration in the district court.’” </w:t>
      </w:r>
      <w:r w:rsidR="00AB6C07" w:rsidRPr="00781475">
        <w:rPr>
          <w:rFonts w:ascii="Times New Roman" w:hAnsi="Times New Roman" w:cs="Times New Roman"/>
          <w:i/>
          <w:sz w:val="24"/>
          <w:szCs w:val="24"/>
        </w:rPr>
        <w:t>In re Lott</w:t>
      </w:r>
      <w:r w:rsidR="00AB6C07" w:rsidRPr="00AB6C07">
        <w:rPr>
          <w:rFonts w:ascii="Times New Roman" w:hAnsi="Times New Roman" w:cs="Times New Roman"/>
          <w:sz w:val="24"/>
          <w:szCs w:val="24"/>
        </w:rPr>
        <w:t xml:space="preserve">, 366 F.3d 431, 433 (6th Cir. 2004) (quoting </w:t>
      </w:r>
      <w:r w:rsidR="00AB6C07" w:rsidRPr="00781475">
        <w:rPr>
          <w:rFonts w:ascii="Times New Roman" w:hAnsi="Times New Roman" w:cs="Times New Roman"/>
          <w:i/>
          <w:sz w:val="24"/>
          <w:szCs w:val="24"/>
        </w:rPr>
        <w:t>Bennett v. United States</w:t>
      </w:r>
      <w:r w:rsidR="00AB6C07" w:rsidRPr="00AB6C07">
        <w:rPr>
          <w:rFonts w:ascii="Times New Roman" w:hAnsi="Times New Roman" w:cs="Times New Roman"/>
          <w:sz w:val="24"/>
          <w:szCs w:val="24"/>
        </w:rPr>
        <w:t>, 119 F.3d 468, 469 (7th Cir. 1997)). The inquiry is not whether the petitioner will ultimately prevail on the merits, but whether his claims are substantial enough to proceed.</w:t>
      </w:r>
    </w:p>
    <w:p w14:paraId="3E5B7806" w14:textId="77777777" w:rsidR="00AB6C07" w:rsidRPr="00AB6C07" w:rsidRDefault="008A3D53" w:rsidP="0078147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The State’s opposition brief repeatedly transgresses this boundary, urging this Court to make the kind of credibility determinations and final legal conclusions that are reserved for the district court after full briefing and, if necessary, an evidentiary hearing. For example, the State asks this Court to credit the prosecutor’s self-serving characterization of her letter and to adopt a state court’s speculative finding that trial counsel “knew” about the suppressed interview. (D.E. 8-1, </w:t>
      </w:r>
      <w:r w:rsidR="001D0B01">
        <w:rPr>
          <w:rFonts w:ascii="Times New Roman" w:hAnsi="Times New Roman" w:cs="Times New Roman"/>
          <w:sz w:val="24"/>
          <w:szCs w:val="24"/>
        </w:rPr>
        <w:t>Page</w:t>
      </w:r>
      <w:r w:rsidR="00AB6C07" w:rsidRPr="00AB6C07">
        <w:rPr>
          <w:rFonts w:ascii="Times New Roman" w:hAnsi="Times New Roman" w:cs="Times New Roman"/>
          <w:sz w:val="24"/>
          <w:szCs w:val="24"/>
        </w:rPr>
        <w:t xml:space="preserve"> 10, 14). But at this preliminary stage, this Court’s role is simply to determine whether </w:t>
      </w:r>
      <w:r w:rsidR="001D0B01">
        <w:rPr>
          <w:rFonts w:ascii="Times New Roman" w:hAnsi="Times New Roman" w:cs="Times New Roman"/>
          <w:sz w:val="24"/>
          <w:szCs w:val="24"/>
        </w:rPr>
        <w:lastRenderedPageBreak/>
        <w:t>Movant</w:t>
      </w:r>
      <w:r w:rsidR="00AB6C07" w:rsidRPr="00AB6C07">
        <w:rPr>
          <w:rFonts w:ascii="Times New Roman" w:hAnsi="Times New Roman" w:cs="Times New Roman"/>
          <w:sz w:val="24"/>
          <w:szCs w:val="24"/>
        </w:rPr>
        <w:t xml:space="preserve"> has presented a colorable claim of a constitutional violation supported by new facts that establish his innocence. He has.</w:t>
      </w:r>
    </w:p>
    <w:p w14:paraId="56186069" w14:textId="77777777" w:rsidR="00AB6C07" w:rsidRPr="00AB6C07" w:rsidRDefault="001D0B01" w:rsidP="008A3D53">
      <w:pPr>
        <w:pStyle w:val="PlainText"/>
        <w:numPr>
          <w:ilvl w:val="0"/>
          <w:numId w:val="6"/>
        </w:numPr>
        <w:spacing w:line="276" w:lineRule="auto"/>
        <w:jc w:val="both"/>
        <w:rPr>
          <w:rFonts w:ascii="Times New Roman" w:hAnsi="Times New Roman" w:cs="Times New Roman"/>
          <w:b/>
          <w:sz w:val="24"/>
          <w:szCs w:val="24"/>
        </w:rPr>
      </w:pPr>
      <w:r>
        <w:rPr>
          <w:rFonts w:ascii="Times New Roman" w:hAnsi="Times New Roman" w:cs="Times New Roman"/>
          <w:b/>
          <w:sz w:val="24"/>
          <w:szCs w:val="24"/>
        </w:rPr>
        <w:t>Movant</w:t>
      </w:r>
      <w:r w:rsidR="00AB6C07" w:rsidRPr="00AB6C07">
        <w:rPr>
          <w:rFonts w:ascii="Times New Roman" w:hAnsi="Times New Roman" w:cs="Times New Roman"/>
          <w:b/>
          <w:sz w:val="24"/>
          <w:szCs w:val="24"/>
        </w:rPr>
        <w:t xml:space="preserve"> Presents Powerful and Colorable Constitutional Claims Under </w:t>
      </w:r>
      <w:r w:rsidR="00AB6C07" w:rsidRPr="00AB6C07">
        <w:rPr>
          <w:rFonts w:ascii="Times New Roman" w:hAnsi="Times New Roman" w:cs="Times New Roman"/>
          <w:b/>
          <w:i/>
          <w:sz w:val="24"/>
          <w:szCs w:val="24"/>
        </w:rPr>
        <w:t>Brady</w:t>
      </w:r>
      <w:r w:rsidR="00AB6C07" w:rsidRPr="00AB6C07">
        <w:rPr>
          <w:rFonts w:ascii="Times New Roman" w:hAnsi="Times New Roman" w:cs="Times New Roman"/>
          <w:b/>
          <w:sz w:val="24"/>
          <w:szCs w:val="24"/>
        </w:rPr>
        <w:t xml:space="preserve"> and </w:t>
      </w:r>
      <w:r w:rsidR="00AB6C07" w:rsidRPr="00AB6C07">
        <w:rPr>
          <w:rFonts w:ascii="Times New Roman" w:hAnsi="Times New Roman" w:cs="Times New Roman"/>
          <w:b/>
          <w:i/>
          <w:sz w:val="24"/>
          <w:szCs w:val="24"/>
        </w:rPr>
        <w:t>Giglio</w:t>
      </w:r>
      <w:r w:rsidR="00AB6C07" w:rsidRPr="00AB6C07">
        <w:rPr>
          <w:rFonts w:ascii="Times New Roman" w:hAnsi="Times New Roman" w:cs="Times New Roman"/>
          <w:b/>
          <w:sz w:val="24"/>
          <w:szCs w:val="24"/>
        </w:rPr>
        <w:t>.</w:t>
      </w:r>
    </w:p>
    <w:p w14:paraId="00377B02" w14:textId="77777777" w:rsidR="00AB6C07" w:rsidRPr="008A3D53" w:rsidRDefault="00AB6C07" w:rsidP="00AC7ADA">
      <w:pPr>
        <w:pStyle w:val="PlainText"/>
        <w:spacing w:line="360" w:lineRule="auto"/>
        <w:jc w:val="both"/>
        <w:rPr>
          <w:rFonts w:ascii="Times New Roman" w:hAnsi="Times New Roman" w:cs="Times New Roman"/>
          <w:sz w:val="16"/>
          <w:szCs w:val="16"/>
        </w:rPr>
      </w:pPr>
    </w:p>
    <w:p w14:paraId="6B76AD8D" w14:textId="77777777" w:rsidR="00AB6C07" w:rsidRPr="00AB6C07" w:rsidRDefault="008A3D53"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The State’s attempts to dismiss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’s constitutional claims as improper or unsupported are unavailing. The newly discovered evidence forms the basis of classic, meritorious claims of State misconduct that deprived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of a fair trial.</w:t>
      </w:r>
    </w:p>
    <w:p w14:paraId="42ECF269" w14:textId="77777777" w:rsidR="00AB6C07" w:rsidRPr="00C92AD5" w:rsidRDefault="00AB6C07" w:rsidP="00AC7ADA">
      <w:pPr>
        <w:pStyle w:val="PlainText"/>
        <w:spacing w:line="360" w:lineRule="auto"/>
        <w:jc w:val="both"/>
        <w:rPr>
          <w:rFonts w:ascii="Times New Roman" w:hAnsi="Times New Roman" w:cs="Times New Roman"/>
          <w:sz w:val="16"/>
          <w:szCs w:val="16"/>
        </w:rPr>
      </w:pPr>
    </w:p>
    <w:p w14:paraId="171C757F" w14:textId="77777777" w:rsidR="00AB6C07" w:rsidRPr="00AC7ADA" w:rsidRDefault="00AB6C07" w:rsidP="008A3D53">
      <w:pPr>
        <w:pStyle w:val="PlainText"/>
        <w:numPr>
          <w:ilvl w:val="0"/>
          <w:numId w:val="7"/>
        </w:numPr>
        <w:spacing w:line="276" w:lineRule="auto"/>
        <w:ind w:left="1080"/>
        <w:jc w:val="both"/>
        <w:rPr>
          <w:rFonts w:ascii="Times New Roman" w:hAnsi="Times New Roman" w:cs="Times New Roman"/>
          <w:b/>
          <w:sz w:val="24"/>
          <w:szCs w:val="24"/>
        </w:rPr>
      </w:pPr>
      <w:r w:rsidRPr="00AC7ADA">
        <w:rPr>
          <w:rFonts w:ascii="Times New Roman" w:hAnsi="Times New Roman" w:cs="Times New Roman"/>
          <w:b/>
          <w:sz w:val="24"/>
          <w:szCs w:val="24"/>
        </w:rPr>
        <w:t xml:space="preserve">The State Suppressed Crucial Exculpatory and Impeachment Evidence in Violation of </w:t>
      </w:r>
      <w:r w:rsidRPr="00AC7ADA">
        <w:rPr>
          <w:rFonts w:ascii="Times New Roman" w:hAnsi="Times New Roman" w:cs="Times New Roman"/>
          <w:b/>
          <w:i/>
          <w:sz w:val="24"/>
          <w:szCs w:val="24"/>
        </w:rPr>
        <w:t>Brady v. Maryland</w:t>
      </w:r>
      <w:r w:rsidRPr="00AC7ADA">
        <w:rPr>
          <w:rFonts w:ascii="Times New Roman" w:hAnsi="Times New Roman" w:cs="Times New Roman"/>
          <w:b/>
          <w:sz w:val="24"/>
          <w:szCs w:val="24"/>
        </w:rPr>
        <w:t>.</w:t>
      </w:r>
    </w:p>
    <w:p w14:paraId="39D44A53" w14:textId="77777777" w:rsidR="00AB6C07" w:rsidRPr="008A3D53" w:rsidRDefault="00AB6C07" w:rsidP="00AC7ADA">
      <w:pPr>
        <w:pStyle w:val="PlainText"/>
        <w:spacing w:line="360" w:lineRule="auto"/>
        <w:jc w:val="both"/>
        <w:rPr>
          <w:rFonts w:ascii="Times New Roman" w:hAnsi="Times New Roman" w:cs="Times New Roman"/>
          <w:sz w:val="16"/>
          <w:szCs w:val="16"/>
        </w:rPr>
      </w:pPr>
    </w:p>
    <w:p w14:paraId="20342D0B" w14:textId="77777777" w:rsidR="00AB6C07" w:rsidRPr="00AB6C07" w:rsidRDefault="0072618C" w:rsidP="0078147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The State’s argument that it did not “suppress” Paul Talley’s 1999 interview is a disingenuous attempt to evade its constitutional duties. Under </w:t>
      </w:r>
      <w:r w:rsidR="00AB6C07" w:rsidRPr="001D0B01">
        <w:rPr>
          <w:rFonts w:ascii="Times New Roman" w:hAnsi="Times New Roman" w:cs="Times New Roman"/>
          <w:i/>
          <w:sz w:val="24"/>
          <w:szCs w:val="24"/>
        </w:rPr>
        <w:t>Brady v. Maryland</w:t>
      </w:r>
      <w:r w:rsidR="00AB6C07" w:rsidRPr="00AB6C07">
        <w:rPr>
          <w:rFonts w:ascii="Times New Roman" w:hAnsi="Times New Roman" w:cs="Times New Roman"/>
          <w:sz w:val="24"/>
          <w:szCs w:val="24"/>
        </w:rPr>
        <w:t xml:space="preserve">, 373 U.S. 83 (1963), suppression occurs when the government fails to disclose evidence favorable to an accused, regardless of the good or bad faith of the prosecution. The State contends that because its generic discovery responses mentioned that Paul Talley “made a statement” and offered to provide a copy upon receipt of a blank tape, it fulfilled its obligation. (D.E. 8-1, </w:t>
      </w:r>
      <w:r w:rsidR="001D0B01">
        <w:rPr>
          <w:rFonts w:ascii="Times New Roman" w:hAnsi="Times New Roman" w:cs="Times New Roman"/>
          <w:sz w:val="24"/>
          <w:szCs w:val="24"/>
        </w:rPr>
        <w:t>Page</w:t>
      </w:r>
      <w:r w:rsidR="00AB6C07" w:rsidRPr="00AB6C07">
        <w:rPr>
          <w:rFonts w:ascii="Times New Roman" w:hAnsi="Times New Roman" w:cs="Times New Roman"/>
          <w:sz w:val="24"/>
          <w:szCs w:val="24"/>
        </w:rPr>
        <w:t xml:space="preserve"> 13). This argument is meritless.</w:t>
      </w:r>
    </w:p>
    <w:p w14:paraId="0CB0BF23" w14:textId="77777777" w:rsidR="00AB6C07" w:rsidRPr="00AB6C07" w:rsidRDefault="0072618C" w:rsidP="00C92AD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First, </w:t>
      </w:r>
      <w:r w:rsidR="00AB6C07" w:rsidRPr="001D0B01">
        <w:rPr>
          <w:rFonts w:ascii="Times New Roman" w:hAnsi="Times New Roman" w:cs="Times New Roman"/>
          <w:i/>
          <w:sz w:val="24"/>
          <w:szCs w:val="24"/>
        </w:rPr>
        <w:t>Brady</w:t>
      </w:r>
      <w:r w:rsidR="00AB6C07" w:rsidRPr="00AB6C07">
        <w:rPr>
          <w:rFonts w:ascii="Times New Roman" w:hAnsi="Times New Roman" w:cs="Times New Roman"/>
          <w:sz w:val="24"/>
          <w:szCs w:val="24"/>
        </w:rPr>
        <w:t xml:space="preserve"> requires more than a vague, misleading reference to the existence of “a statement.” The State’s discovery response actively concealed the exculpatory nature of the interview. It failed to disclose that in this statement, its future star witness identified an entirely different perpetrator</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co-defendant Torrey Glenn’s brother</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 xml:space="preserve">and completely omitted any mention of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This is not disclosure; it is concealment by misdirection. Due diligence does not require defense counsel to be clairvoyant, to know that a generic reference to an accomplice’s statement in one case file actually refers to a bombshell exculpatory interview buried in the file of a separate case. The State’s reliance on </w:t>
      </w:r>
      <w:r w:rsidR="00AB6C07" w:rsidRPr="001D0B01">
        <w:rPr>
          <w:rFonts w:ascii="Times New Roman" w:hAnsi="Times New Roman" w:cs="Times New Roman"/>
          <w:i/>
          <w:sz w:val="24"/>
          <w:szCs w:val="24"/>
        </w:rPr>
        <w:t>Coe v. Bell</w:t>
      </w:r>
      <w:r w:rsidR="00AB6C07" w:rsidRPr="00AB6C07">
        <w:rPr>
          <w:rFonts w:ascii="Times New Roman" w:hAnsi="Times New Roman" w:cs="Times New Roman"/>
          <w:sz w:val="24"/>
          <w:szCs w:val="24"/>
        </w:rPr>
        <w:t>, 161 F.3d 320, 344 (6th Cir. 1998), is misplaced, as that case applies where a defendant “knew or should have known the essential facts permitting him to take advantage of any exculpatory information.” Here, the State ensured that the “essential facts”</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that the statement was exculpatory</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remained hidden.</w:t>
      </w:r>
    </w:p>
    <w:p w14:paraId="73A167C5" w14:textId="77777777" w:rsidR="00AB6C07" w:rsidRPr="00AB6C07" w:rsidRDefault="0072618C"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AB6C07" w:rsidRPr="00AB6C07">
        <w:rPr>
          <w:rFonts w:ascii="Times New Roman" w:hAnsi="Times New Roman" w:cs="Times New Roman"/>
          <w:sz w:val="24"/>
          <w:szCs w:val="24"/>
        </w:rPr>
        <w:t xml:space="preserve">Second, the evidence is plainly favorable and material. It is favorable both as substantive evidence of another perpetrator’s guilt (see </w:t>
      </w:r>
      <w:r w:rsidR="00AB6C07" w:rsidRPr="001D0B01">
        <w:rPr>
          <w:rFonts w:ascii="Times New Roman" w:hAnsi="Times New Roman" w:cs="Times New Roman"/>
          <w:i/>
          <w:sz w:val="24"/>
          <w:szCs w:val="24"/>
        </w:rPr>
        <w:t>Strickler v. Greene</w:t>
      </w:r>
      <w:r w:rsidR="00AB6C07" w:rsidRPr="00AB6C07">
        <w:rPr>
          <w:rFonts w:ascii="Times New Roman" w:hAnsi="Times New Roman" w:cs="Times New Roman"/>
          <w:sz w:val="24"/>
          <w:szCs w:val="24"/>
        </w:rPr>
        <w:t xml:space="preserve">, 527 U.S. 263, 281-82 (1999)) and as powerful impeachment evidence that would have destroyed Paul Talley’s credibility. Had the jury known that Talley’s first, contemporaneous account of the murder to police was radically different from his trial testimony, there is a reasonable probability the result of the proceeding would have been different. This is a colorable </w:t>
      </w:r>
      <w:r w:rsidR="001D0B01" w:rsidRPr="00F57057">
        <w:rPr>
          <w:rFonts w:ascii="Times New Roman" w:hAnsi="Times New Roman" w:cs="Times New Roman"/>
          <w:i/>
          <w:sz w:val="24"/>
          <w:szCs w:val="24"/>
        </w:rPr>
        <w:t>Brady</w:t>
      </w:r>
      <w:r w:rsidR="00AB6C07" w:rsidRPr="00AB6C07">
        <w:rPr>
          <w:rFonts w:ascii="Times New Roman" w:hAnsi="Times New Roman" w:cs="Times New Roman"/>
          <w:sz w:val="24"/>
          <w:szCs w:val="24"/>
        </w:rPr>
        <w:t xml:space="preserve"> claim that demands further exploration.</w:t>
      </w:r>
    </w:p>
    <w:p w14:paraId="1216EA67" w14:textId="77777777" w:rsidR="00AB6C07" w:rsidRPr="00C92AD5" w:rsidRDefault="00AB6C07" w:rsidP="00AC7ADA">
      <w:pPr>
        <w:pStyle w:val="PlainText"/>
        <w:spacing w:line="360" w:lineRule="auto"/>
        <w:jc w:val="both"/>
        <w:rPr>
          <w:rFonts w:ascii="Times New Roman" w:hAnsi="Times New Roman" w:cs="Times New Roman"/>
          <w:sz w:val="16"/>
          <w:szCs w:val="16"/>
        </w:rPr>
      </w:pPr>
    </w:p>
    <w:p w14:paraId="142B3262" w14:textId="77777777" w:rsidR="00AB6C07" w:rsidRPr="00AC7ADA" w:rsidRDefault="00AB6C07" w:rsidP="008A3D53">
      <w:pPr>
        <w:pStyle w:val="PlainText"/>
        <w:numPr>
          <w:ilvl w:val="0"/>
          <w:numId w:val="7"/>
        </w:numPr>
        <w:spacing w:line="276" w:lineRule="auto"/>
        <w:ind w:left="1080"/>
        <w:jc w:val="both"/>
        <w:rPr>
          <w:rFonts w:ascii="Times New Roman" w:hAnsi="Times New Roman" w:cs="Times New Roman"/>
          <w:b/>
          <w:i/>
          <w:sz w:val="24"/>
          <w:szCs w:val="24"/>
        </w:rPr>
      </w:pPr>
      <w:r w:rsidRPr="00AC7ADA">
        <w:rPr>
          <w:rFonts w:ascii="Times New Roman" w:hAnsi="Times New Roman" w:cs="Times New Roman"/>
          <w:b/>
          <w:sz w:val="24"/>
          <w:szCs w:val="24"/>
        </w:rPr>
        <w:t xml:space="preserve">The State Knowingly Used False and Misleading Testimony in Violation of </w:t>
      </w:r>
      <w:r w:rsidRPr="00AC7ADA">
        <w:rPr>
          <w:rFonts w:ascii="Times New Roman" w:hAnsi="Times New Roman" w:cs="Times New Roman"/>
          <w:b/>
          <w:i/>
          <w:sz w:val="24"/>
          <w:szCs w:val="24"/>
        </w:rPr>
        <w:t>Giglio v. United States.</w:t>
      </w:r>
    </w:p>
    <w:p w14:paraId="58389F95" w14:textId="77777777" w:rsidR="00AB6C07" w:rsidRPr="008A3D53" w:rsidRDefault="00AB6C07" w:rsidP="00AC7ADA">
      <w:pPr>
        <w:pStyle w:val="PlainText"/>
        <w:spacing w:line="360" w:lineRule="auto"/>
        <w:jc w:val="both"/>
        <w:rPr>
          <w:rFonts w:ascii="Times New Roman" w:hAnsi="Times New Roman" w:cs="Times New Roman"/>
          <w:sz w:val="16"/>
          <w:szCs w:val="16"/>
        </w:rPr>
      </w:pPr>
    </w:p>
    <w:p w14:paraId="0F4F09FF" w14:textId="77777777" w:rsidR="00AB6C07" w:rsidRPr="00AB6C07" w:rsidRDefault="0072618C" w:rsidP="0078147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The State’s argument regarding the prosecutor’s letter is a textbook exercise in semantic gamesmanship that federal courts have long rejected. A prosecutor’s duty under </w:t>
      </w:r>
      <w:r w:rsidR="00AB6C07" w:rsidRPr="001D0B01">
        <w:rPr>
          <w:rFonts w:ascii="Times New Roman" w:hAnsi="Times New Roman" w:cs="Times New Roman"/>
          <w:i/>
          <w:sz w:val="24"/>
          <w:szCs w:val="24"/>
        </w:rPr>
        <w:t>Giglio</w:t>
      </w:r>
      <w:r w:rsidR="00AB6C07" w:rsidRPr="00AB6C07">
        <w:rPr>
          <w:rFonts w:ascii="Times New Roman" w:hAnsi="Times New Roman" w:cs="Times New Roman"/>
          <w:sz w:val="24"/>
          <w:szCs w:val="24"/>
        </w:rPr>
        <w:t xml:space="preserve"> and </w:t>
      </w:r>
      <w:r w:rsidR="00AB6C07" w:rsidRPr="001D0B01">
        <w:rPr>
          <w:rFonts w:ascii="Times New Roman" w:hAnsi="Times New Roman" w:cs="Times New Roman"/>
          <w:i/>
          <w:sz w:val="24"/>
          <w:szCs w:val="24"/>
        </w:rPr>
        <w:t>Napue v. Illinois</w:t>
      </w:r>
      <w:r w:rsidR="00AB6C07" w:rsidRPr="00AB6C07">
        <w:rPr>
          <w:rFonts w:ascii="Times New Roman" w:hAnsi="Times New Roman" w:cs="Times New Roman"/>
          <w:sz w:val="24"/>
          <w:szCs w:val="24"/>
        </w:rPr>
        <w:t xml:space="preserve">, 360 U.S. 264 (1959), is to correct testimony it knows to be false or misleading, including testimony concerning promises or inducements made in exchange for testimony. The State argues that because the prosecutor’s letter states she made no “promises of leniency” and only told Talley she “would take his assistance under consideration,” Talley’s testimony was not false. (D.E. 8-1, </w:t>
      </w:r>
      <w:r w:rsidR="001D0B01">
        <w:rPr>
          <w:rFonts w:ascii="Times New Roman" w:hAnsi="Times New Roman" w:cs="Times New Roman"/>
          <w:sz w:val="24"/>
          <w:szCs w:val="24"/>
        </w:rPr>
        <w:t>Page</w:t>
      </w:r>
      <w:r w:rsidR="00AB6C07" w:rsidRPr="00AB6C07">
        <w:rPr>
          <w:rFonts w:ascii="Times New Roman" w:hAnsi="Times New Roman" w:cs="Times New Roman"/>
          <w:sz w:val="24"/>
          <w:szCs w:val="24"/>
        </w:rPr>
        <w:t xml:space="preserve"> 14).</w:t>
      </w:r>
    </w:p>
    <w:p w14:paraId="663F4092" w14:textId="77777777" w:rsidR="00AB6C07" w:rsidRPr="00AB6C07" w:rsidRDefault="0072618C" w:rsidP="0078147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This is a distinction without a difference. The Supreme Court has made clear that the </w:t>
      </w:r>
      <w:r w:rsidR="001D0B01" w:rsidRPr="00FF18BA">
        <w:rPr>
          <w:rFonts w:ascii="Times New Roman" w:hAnsi="Times New Roman" w:cs="Times New Roman"/>
          <w:i/>
          <w:sz w:val="24"/>
          <w:szCs w:val="24"/>
        </w:rPr>
        <w:t>Giglio</w:t>
      </w:r>
      <w:r w:rsidR="00AB6C07" w:rsidRPr="00AB6C07">
        <w:rPr>
          <w:rFonts w:ascii="Times New Roman" w:hAnsi="Times New Roman" w:cs="Times New Roman"/>
          <w:sz w:val="24"/>
          <w:szCs w:val="24"/>
        </w:rPr>
        <w:t xml:space="preserve"> duty applies to “any understanding or agreement as to a future prosecution.” 405 U.S. at 155. Telling a witness facing murder charges that his “assistance” in testifying against a co-defendant will be taken “under consideration” is a clear and powerful inducement. The prosecutor knew this. Yet, she sat silently as Paul Talley testified that he had been given no such assurances and merely “hope[d] to get something out of it.” (D.E. 8-1, </w:t>
      </w:r>
      <w:r w:rsidR="001D0B01">
        <w:rPr>
          <w:rFonts w:ascii="Times New Roman" w:hAnsi="Times New Roman" w:cs="Times New Roman"/>
          <w:sz w:val="24"/>
          <w:szCs w:val="24"/>
        </w:rPr>
        <w:t>Page</w:t>
      </w:r>
      <w:r w:rsidR="00AB6C07" w:rsidRPr="00AB6C07">
        <w:rPr>
          <w:rFonts w:ascii="Times New Roman" w:hAnsi="Times New Roman" w:cs="Times New Roman"/>
          <w:sz w:val="24"/>
          <w:szCs w:val="24"/>
        </w:rPr>
        <w:t xml:space="preserve"> 3). This testimony was, at a minimum, materially misleading, and the prosecutor had a duty to correct it. Her failure to do so constitutes a grave constitutional violation. This suppressed letter is the smoking gun proving that violation, and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is entitled to present this claim to the district court.</w:t>
      </w:r>
    </w:p>
    <w:p w14:paraId="239CFF13" w14:textId="77777777" w:rsidR="00AB6C07" w:rsidRPr="00AC7ADA" w:rsidRDefault="00AB6C07" w:rsidP="008A3D53">
      <w:pPr>
        <w:pStyle w:val="PlainText"/>
        <w:jc w:val="center"/>
        <w:rPr>
          <w:rFonts w:ascii="Times New Roman" w:hAnsi="Times New Roman" w:cs="Times New Roman"/>
          <w:b/>
          <w:sz w:val="24"/>
          <w:szCs w:val="24"/>
        </w:rPr>
      </w:pPr>
      <w:r w:rsidRPr="00AC7ADA">
        <w:rPr>
          <w:rFonts w:ascii="Times New Roman" w:hAnsi="Times New Roman" w:cs="Times New Roman"/>
          <w:b/>
          <w:sz w:val="24"/>
          <w:szCs w:val="24"/>
        </w:rPr>
        <w:t>IV. ANALYSIS OF ACTUAL INNOCENCE CLAIM (§ 2244(b)(2)(B)(ii))</w:t>
      </w:r>
    </w:p>
    <w:p w14:paraId="58F2542B" w14:textId="77777777" w:rsidR="00AB6C07" w:rsidRPr="008A3D53" w:rsidRDefault="00AB6C07" w:rsidP="00AB6C07">
      <w:pPr>
        <w:pStyle w:val="PlainText"/>
        <w:spacing w:line="360" w:lineRule="auto"/>
        <w:rPr>
          <w:rFonts w:ascii="Times New Roman" w:hAnsi="Times New Roman" w:cs="Times New Roman"/>
          <w:sz w:val="16"/>
          <w:szCs w:val="16"/>
        </w:rPr>
      </w:pPr>
    </w:p>
    <w:p w14:paraId="6393CE69" w14:textId="77777777" w:rsidR="00AB6C07" w:rsidRPr="00AB6C07" w:rsidRDefault="0072618C"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To secure authorization,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must make a prima facie showing that the “facts underlying the claim, if proven and viewed in light of the evidence as a whole, would be sufficient to establish by clear and convincing evidence that, but for constitutional error, no reasonable factfinder would have found the applicant guilty of the underlying offense.” 28 U.S.C. § </w:t>
      </w:r>
      <w:r w:rsidR="00AB6C07" w:rsidRPr="00AB6C07">
        <w:rPr>
          <w:rFonts w:ascii="Times New Roman" w:hAnsi="Times New Roman" w:cs="Times New Roman"/>
          <w:sz w:val="24"/>
          <w:szCs w:val="24"/>
        </w:rPr>
        <w:lastRenderedPageBreak/>
        <w:t xml:space="preserve">2244(b)(2)(B)(ii). This is an “exceedingly high bar,” </w:t>
      </w:r>
      <w:r w:rsidR="00AB6C07" w:rsidRPr="001D0B01">
        <w:rPr>
          <w:rFonts w:ascii="Times New Roman" w:hAnsi="Times New Roman" w:cs="Times New Roman"/>
          <w:i/>
          <w:sz w:val="24"/>
          <w:szCs w:val="24"/>
        </w:rPr>
        <w:t>Keith v. Hill</w:t>
      </w:r>
      <w:r w:rsidR="00AB6C07" w:rsidRPr="00AB6C07">
        <w:rPr>
          <w:rFonts w:ascii="Times New Roman" w:hAnsi="Times New Roman" w:cs="Times New Roman"/>
          <w:sz w:val="24"/>
          <w:szCs w:val="24"/>
        </w:rPr>
        <w:t xml:space="preserve">, 78 F.4th 307, 318 (6th Cir. 2023) (White, J., concurring), but it is a bar that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’s powerful new evidence clears. The State’s opposition fails because it analyzes each piece of new evidence in a vacuum, ignoring the devastating, synergistic effect of the evidence when viewed cumulatively, as required by the Supreme Court. See </w:t>
      </w:r>
      <w:r w:rsidR="00AB6C07" w:rsidRPr="00781475">
        <w:rPr>
          <w:rFonts w:ascii="Times New Roman" w:hAnsi="Times New Roman" w:cs="Times New Roman"/>
          <w:i/>
          <w:sz w:val="24"/>
          <w:szCs w:val="24"/>
        </w:rPr>
        <w:t>House v. Bell</w:t>
      </w:r>
      <w:r w:rsidR="00AB6C07" w:rsidRPr="00AB6C07">
        <w:rPr>
          <w:rFonts w:ascii="Times New Roman" w:hAnsi="Times New Roman" w:cs="Times New Roman"/>
          <w:sz w:val="24"/>
          <w:szCs w:val="24"/>
        </w:rPr>
        <w:t>, 547 U.S. 518, 538 (2006) (instructing courts to consider “all the evidence, old and new, incriminating and exculpatory”). When viewed as a whole, the new evidence does not merely cast doubt on the State’s case; it systematically demolishes each of its foundational pillars, leaving nothing upon which a reasonable juror could base a finding of guilt.</w:t>
      </w:r>
    </w:p>
    <w:p w14:paraId="3862755A" w14:textId="77777777" w:rsidR="00AB6C07" w:rsidRPr="008A3D53" w:rsidRDefault="00AB6C07" w:rsidP="00AC7ADA">
      <w:pPr>
        <w:pStyle w:val="PlainText"/>
        <w:spacing w:line="360" w:lineRule="auto"/>
        <w:jc w:val="both"/>
        <w:rPr>
          <w:rFonts w:ascii="Times New Roman" w:hAnsi="Times New Roman" w:cs="Times New Roman"/>
          <w:sz w:val="16"/>
          <w:szCs w:val="16"/>
        </w:rPr>
      </w:pPr>
    </w:p>
    <w:p w14:paraId="343CC40E" w14:textId="77777777" w:rsidR="00AB6C07" w:rsidRPr="00AC7ADA" w:rsidRDefault="00AB6C07" w:rsidP="0072618C">
      <w:pPr>
        <w:pStyle w:val="PlainText"/>
        <w:numPr>
          <w:ilvl w:val="0"/>
          <w:numId w:val="8"/>
        </w:numPr>
        <w:spacing w:line="360" w:lineRule="auto"/>
        <w:jc w:val="both"/>
        <w:rPr>
          <w:rFonts w:ascii="Times New Roman" w:hAnsi="Times New Roman" w:cs="Times New Roman"/>
          <w:b/>
          <w:sz w:val="24"/>
          <w:szCs w:val="24"/>
        </w:rPr>
      </w:pPr>
      <w:r w:rsidRPr="00AC7ADA">
        <w:rPr>
          <w:rFonts w:ascii="Times New Roman" w:hAnsi="Times New Roman" w:cs="Times New Roman"/>
          <w:b/>
          <w:sz w:val="24"/>
          <w:szCs w:val="24"/>
        </w:rPr>
        <w:t>The New Evidence Systematically Dismantles Each Pillar of the State's Case.</w:t>
      </w:r>
    </w:p>
    <w:p w14:paraId="1A3A1612" w14:textId="77777777" w:rsidR="00AB6C07" w:rsidRPr="008A3D53" w:rsidRDefault="00AB6C07" w:rsidP="00AC7ADA">
      <w:pPr>
        <w:pStyle w:val="PlainText"/>
        <w:spacing w:line="360" w:lineRule="auto"/>
        <w:jc w:val="both"/>
        <w:rPr>
          <w:rFonts w:ascii="Times New Roman" w:hAnsi="Times New Roman" w:cs="Times New Roman"/>
          <w:sz w:val="16"/>
          <w:szCs w:val="16"/>
        </w:rPr>
      </w:pPr>
    </w:p>
    <w:p w14:paraId="416D60DE" w14:textId="77777777" w:rsidR="00AB6C07" w:rsidRPr="00AB6C07" w:rsidRDefault="0072618C"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A reasonable juror’s view of the State’s case is fundamentally and irrevocably altered by the new evidence. What was once a case resting on three testimonial pillars is now a case with none.</w:t>
      </w:r>
    </w:p>
    <w:p w14:paraId="1C2A048F" w14:textId="77777777" w:rsidR="00AB6C07" w:rsidRPr="008A3D53" w:rsidRDefault="00AB6C07" w:rsidP="00AC7ADA">
      <w:pPr>
        <w:pStyle w:val="PlainText"/>
        <w:spacing w:line="360" w:lineRule="auto"/>
        <w:jc w:val="both"/>
        <w:rPr>
          <w:rFonts w:ascii="Times New Roman" w:hAnsi="Times New Roman" w:cs="Times New Roman"/>
          <w:sz w:val="16"/>
          <w:szCs w:val="16"/>
        </w:rPr>
      </w:pPr>
    </w:p>
    <w:p w14:paraId="12FDA89C" w14:textId="77777777" w:rsidR="00AB6C07" w:rsidRPr="00AC7ADA" w:rsidRDefault="00AB6C07" w:rsidP="0072618C">
      <w:pPr>
        <w:pStyle w:val="PlainText"/>
        <w:numPr>
          <w:ilvl w:val="0"/>
          <w:numId w:val="9"/>
        </w:numPr>
        <w:spacing w:line="360" w:lineRule="auto"/>
        <w:ind w:left="1080"/>
        <w:jc w:val="both"/>
        <w:rPr>
          <w:rFonts w:ascii="Times New Roman" w:hAnsi="Times New Roman" w:cs="Times New Roman"/>
          <w:b/>
          <w:sz w:val="24"/>
          <w:szCs w:val="24"/>
        </w:rPr>
      </w:pPr>
      <w:r w:rsidRPr="00AC7ADA">
        <w:rPr>
          <w:rFonts w:ascii="Times New Roman" w:hAnsi="Times New Roman" w:cs="Times New Roman"/>
          <w:b/>
          <w:sz w:val="24"/>
          <w:szCs w:val="24"/>
        </w:rPr>
        <w:t>Pillar One: Paul Talley’s Testimony is Obliterated.</w:t>
      </w:r>
    </w:p>
    <w:p w14:paraId="283A272A" w14:textId="77777777" w:rsidR="00AB6C07" w:rsidRPr="008A3D53" w:rsidRDefault="00AB6C07" w:rsidP="00AC7ADA">
      <w:pPr>
        <w:pStyle w:val="PlainText"/>
        <w:spacing w:line="360" w:lineRule="auto"/>
        <w:jc w:val="both"/>
        <w:rPr>
          <w:rFonts w:ascii="Times New Roman" w:hAnsi="Times New Roman" w:cs="Times New Roman"/>
          <w:sz w:val="16"/>
          <w:szCs w:val="16"/>
        </w:rPr>
      </w:pPr>
    </w:p>
    <w:p w14:paraId="59FD3C77" w14:textId="77777777" w:rsidR="00AB6C07" w:rsidRPr="00AB6C07" w:rsidRDefault="0072618C"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At trial, Paul Talley was the State’s star witness. A reasonable juror now sees him as a serial perjurer whose testimony is worthless. His credibility is not merely impeached; it is annihilated from three independent directions. First, his 2012 recantation is now powerfully corroborated by the State’s own suppressed evidence: his April 1999 police interview. The fact that his initial, contemporaneous statement to police</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 xml:space="preserve">identifying Torrey Glenn’s brother as the killer and omitting </w:t>
      </w:r>
      <w:r w:rsidR="001D0B01">
        <w:rPr>
          <w:rFonts w:ascii="Times New Roman" w:hAnsi="Times New Roman" w:cs="Times New Roman"/>
          <w:sz w:val="24"/>
          <w:szCs w:val="24"/>
        </w:rPr>
        <w:t>Movant</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 xml:space="preserve">is consistent with his later recantation gives both incredible weight. Second, the suppressed prosecutor’s letter provides the missing piece of the puzzle: the </w:t>
      </w:r>
      <w:r w:rsidR="00AB6C07" w:rsidRPr="00FF18BA">
        <w:rPr>
          <w:rFonts w:ascii="Times New Roman" w:hAnsi="Times New Roman" w:cs="Times New Roman"/>
          <w:i/>
          <w:sz w:val="24"/>
          <w:szCs w:val="24"/>
        </w:rPr>
        <w:t>motive</w:t>
      </w:r>
      <w:r w:rsidR="00AB6C07" w:rsidRPr="00AB6C07">
        <w:rPr>
          <w:rFonts w:ascii="Times New Roman" w:hAnsi="Times New Roman" w:cs="Times New Roman"/>
          <w:sz w:val="24"/>
          <w:szCs w:val="24"/>
        </w:rPr>
        <w:t xml:space="preserve"> for his perjury. It reveals the undisclosed inducement from the prosecutor that gave him a compelling reason to change his story and falsely implicate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at trial. A reasonable juror would conclude that Paul Talley lied to save himself, and that the State not only knew it, but facilitated it. His testimony is a nullity.</w:t>
      </w:r>
    </w:p>
    <w:p w14:paraId="630582A3" w14:textId="77777777" w:rsidR="00AB6C07" w:rsidRPr="001D0B01" w:rsidRDefault="00AB6C07" w:rsidP="00AC7ADA">
      <w:pPr>
        <w:pStyle w:val="PlainText"/>
        <w:spacing w:line="360" w:lineRule="auto"/>
        <w:jc w:val="both"/>
        <w:rPr>
          <w:rFonts w:ascii="Times New Roman" w:hAnsi="Times New Roman" w:cs="Times New Roman"/>
          <w:sz w:val="16"/>
          <w:szCs w:val="16"/>
        </w:rPr>
      </w:pPr>
    </w:p>
    <w:p w14:paraId="65718626" w14:textId="77777777" w:rsidR="00AB6C07" w:rsidRPr="00AC7ADA" w:rsidRDefault="00AB6C07" w:rsidP="0072618C">
      <w:pPr>
        <w:pStyle w:val="PlainText"/>
        <w:numPr>
          <w:ilvl w:val="0"/>
          <w:numId w:val="9"/>
        </w:numPr>
        <w:spacing w:line="360" w:lineRule="auto"/>
        <w:ind w:left="1080"/>
        <w:jc w:val="both"/>
        <w:rPr>
          <w:rFonts w:ascii="Times New Roman" w:hAnsi="Times New Roman" w:cs="Times New Roman"/>
          <w:b/>
          <w:sz w:val="24"/>
          <w:szCs w:val="24"/>
        </w:rPr>
      </w:pPr>
      <w:r w:rsidRPr="00AC7ADA">
        <w:rPr>
          <w:rFonts w:ascii="Times New Roman" w:hAnsi="Times New Roman" w:cs="Times New Roman"/>
          <w:b/>
          <w:sz w:val="24"/>
          <w:szCs w:val="24"/>
        </w:rPr>
        <w:t>Pillar Two: Fred Talley’s Corroboration is Eliminated.</w:t>
      </w:r>
    </w:p>
    <w:p w14:paraId="4F343EF7" w14:textId="77777777" w:rsidR="00AB6C07" w:rsidRPr="008A3D53" w:rsidRDefault="00AB6C07" w:rsidP="00AC7ADA">
      <w:pPr>
        <w:pStyle w:val="PlainText"/>
        <w:spacing w:line="360" w:lineRule="auto"/>
        <w:jc w:val="both"/>
        <w:rPr>
          <w:rFonts w:ascii="Times New Roman" w:hAnsi="Times New Roman" w:cs="Times New Roman"/>
          <w:sz w:val="16"/>
          <w:szCs w:val="16"/>
        </w:rPr>
      </w:pPr>
    </w:p>
    <w:p w14:paraId="2260576F" w14:textId="77777777" w:rsidR="00AB6C07" w:rsidRPr="00AB6C07" w:rsidRDefault="0072618C"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At trial, Fred Talley provided the sole piece of non-accomplice </w:t>
      </w:r>
      <w:r w:rsidR="00D21834">
        <w:rPr>
          <w:rFonts w:ascii="Times New Roman" w:hAnsi="Times New Roman" w:cs="Times New Roman"/>
          <w:sz w:val="24"/>
          <w:szCs w:val="24"/>
        </w:rPr>
        <w:t>“</w:t>
      </w:r>
      <w:r w:rsidR="00AB6C07" w:rsidRPr="00AB6C07">
        <w:rPr>
          <w:rFonts w:ascii="Times New Roman" w:hAnsi="Times New Roman" w:cs="Times New Roman"/>
          <w:sz w:val="24"/>
          <w:szCs w:val="24"/>
        </w:rPr>
        <w:t>corroboration</w:t>
      </w:r>
      <w:r w:rsidR="00D21834">
        <w:rPr>
          <w:rFonts w:ascii="Times New Roman" w:hAnsi="Times New Roman" w:cs="Times New Roman"/>
          <w:sz w:val="24"/>
          <w:szCs w:val="24"/>
        </w:rPr>
        <w:t>”</w:t>
      </w:r>
      <w:r w:rsidR="00AB6C07" w:rsidRPr="00AB6C07">
        <w:rPr>
          <w:rFonts w:ascii="Times New Roman" w:hAnsi="Times New Roman" w:cs="Times New Roman"/>
          <w:sz w:val="24"/>
          <w:szCs w:val="24"/>
        </w:rPr>
        <w:t xml:space="preserve">, testifying that he saw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with the perpetrators on the night of the crime. This was the critical link, </w:t>
      </w:r>
      <w:r w:rsidR="00AB6C07" w:rsidRPr="00AB6C07">
        <w:rPr>
          <w:rFonts w:ascii="Times New Roman" w:hAnsi="Times New Roman" w:cs="Times New Roman"/>
          <w:sz w:val="24"/>
          <w:szCs w:val="24"/>
        </w:rPr>
        <w:lastRenderedPageBreak/>
        <w:t xml:space="preserve">however tenuous, that lent a veneer of credibility to his brother’s story. That veneer is now stripped away. Fred Talley’s sworn recantation completely removes this </w:t>
      </w:r>
      <w:r w:rsidR="00D21834">
        <w:rPr>
          <w:rFonts w:ascii="Times New Roman" w:hAnsi="Times New Roman" w:cs="Times New Roman"/>
          <w:sz w:val="24"/>
          <w:szCs w:val="24"/>
        </w:rPr>
        <w:t>supposed “</w:t>
      </w:r>
      <w:r w:rsidR="00AB6C07" w:rsidRPr="00AB6C07">
        <w:rPr>
          <w:rFonts w:ascii="Times New Roman" w:hAnsi="Times New Roman" w:cs="Times New Roman"/>
          <w:sz w:val="24"/>
          <w:szCs w:val="24"/>
        </w:rPr>
        <w:t>corroborating</w:t>
      </w:r>
      <w:r w:rsidR="00D21834">
        <w:rPr>
          <w:rFonts w:ascii="Times New Roman" w:hAnsi="Times New Roman" w:cs="Times New Roman"/>
          <w:sz w:val="24"/>
          <w:szCs w:val="24"/>
        </w:rPr>
        <w:t>”</w:t>
      </w:r>
      <w:r w:rsidR="00AB6C07" w:rsidRPr="00AB6C07">
        <w:rPr>
          <w:rFonts w:ascii="Times New Roman" w:hAnsi="Times New Roman" w:cs="Times New Roman"/>
          <w:sz w:val="24"/>
          <w:szCs w:val="24"/>
        </w:rPr>
        <w:t xml:space="preserve"> evidence from the case. He now admits he lied to help his brother and that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was not there. With this pillar gone, the State’s case is reduced to the uncorroborated word of the remaining accomplices, a scenario that would give any reasonable juror pause.</w:t>
      </w:r>
    </w:p>
    <w:p w14:paraId="6506FEA9" w14:textId="77777777" w:rsidR="00AB6C07" w:rsidRPr="008A3D53" w:rsidRDefault="00AB6C07" w:rsidP="00AC7ADA">
      <w:pPr>
        <w:pStyle w:val="PlainText"/>
        <w:spacing w:line="360" w:lineRule="auto"/>
        <w:jc w:val="both"/>
        <w:rPr>
          <w:rFonts w:ascii="Times New Roman" w:hAnsi="Times New Roman" w:cs="Times New Roman"/>
          <w:sz w:val="16"/>
          <w:szCs w:val="16"/>
        </w:rPr>
      </w:pPr>
    </w:p>
    <w:p w14:paraId="58648238" w14:textId="77777777" w:rsidR="00AB6C07" w:rsidRPr="00AC7ADA" w:rsidRDefault="00AB6C07" w:rsidP="0072618C">
      <w:pPr>
        <w:pStyle w:val="PlainText"/>
        <w:numPr>
          <w:ilvl w:val="0"/>
          <w:numId w:val="9"/>
        </w:numPr>
        <w:spacing w:line="360" w:lineRule="auto"/>
        <w:ind w:left="1080"/>
        <w:jc w:val="both"/>
        <w:rPr>
          <w:rFonts w:ascii="Times New Roman" w:hAnsi="Times New Roman" w:cs="Times New Roman"/>
          <w:b/>
          <w:sz w:val="24"/>
          <w:szCs w:val="24"/>
        </w:rPr>
      </w:pPr>
      <w:r w:rsidRPr="00AC7ADA">
        <w:rPr>
          <w:rFonts w:ascii="Times New Roman" w:hAnsi="Times New Roman" w:cs="Times New Roman"/>
          <w:b/>
          <w:sz w:val="24"/>
          <w:szCs w:val="24"/>
        </w:rPr>
        <w:t>Pillar Three: Torrey Glenn’s Testimony is Fatally Tainted.</w:t>
      </w:r>
    </w:p>
    <w:p w14:paraId="22E47C9B" w14:textId="77777777" w:rsidR="00AB6C07" w:rsidRPr="008A3D53" w:rsidRDefault="00AB6C07" w:rsidP="00AC7ADA">
      <w:pPr>
        <w:pStyle w:val="PlainText"/>
        <w:spacing w:line="360" w:lineRule="auto"/>
        <w:jc w:val="both"/>
        <w:rPr>
          <w:rFonts w:ascii="Times New Roman" w:hAnsi="Times New Roman" w:cs="Times New Roman"/>
          <w:sz w:val="16"/>
          <w:szCs w:val="16"/>
        </w:rPr>
      </w:pPr>
    </w:p>
    <w:p w14:paraId="328D0D1E" w14:textId="77777777" w:rsidR="00AB6C07" w:rsidRPr="00AB6C07" w:rsidRDefault="0072618C" w:rsidP="0078147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The State’s final argument is that even if Paul and Fred Talley’s testimony is disregarded, the jury still heard from Torrey Glenn, who also testified that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shot the victim. (D.E. 8-1, </w:t>
      </w:r>
      <w:r w:rsidR="001D0B01">
        <w:rPr>
          <w:rFonts w:ascii="Times New Roman" w:hAnsi="Times New Roman" w:cs="Times New Roman"/>
          <w:sz w:val="24"/>
          <w:szCs w:val="24"/>
        </w:rPr>
        <w:t>Page</w:t>
      </w:r>
      <w:r w:rsidR="00AB6C07" w:rsidRPr="00AB6C07">
        <w:rPr>
          <w:rFonts w:ascii="Times New Roman" w:hAnsi="Times New Roman" w:cs="Times New Roman"/>
          <w:sz w:val="24"/>
          <w:szCs w:val="24"/>
        </w:rPr>
        <w:t xml:space="preserve"> 16). This argument collapses under the weight of the new evidence. With the other two pillars gone, Glenn’s testimony now stands alone</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the uncorroborated, self-serving accusation of a co-defendant who, like Paul Talley, was testifying to save his own skin.</w:t>
      </w:r>
    </w:p>
    <w:p w14:paraId="683D0453" w14:textId="77777777" w:rsidR="00AB6C07" w:rsidRPr="00AB6C07" w:rsidRDefault="0072618C"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More importantly, Glenn’s testimony is now fatally infected by the proven prosecutorial misconduct. The </w:t>
      </w:r>
      <w:r w:rsidR="001D0B01" w:rsidRPr="00FF18BA">
        <w:rPr>
          <w:rFonts w:ascii="Times New Roman" w:hAnsi="Times New Roman" w:cs="Times New Roman"/>
          <w:i/>
          <w:sz w:val="24"/>
          <w:szCs w:val="24"/>
        </w:rPr>
        <w:t>Giglio</w:t>
      </w:r>
      <w:r w:rsidR="00AB6C07" w:rsidRPr="00AB6C07">
        <w:rPr>
          <w:rFonts w:ascii="Times New Roman" w:hAnsi="Times New Roman" w:cs="Times New Roman"/>
          <w:sz w:val="24"/>
          <w:szCs w:val="24"/>
        </w:rPr>
        <w:t xml:space="preserve"> violation established by the prosecutor’s letter is not limited to Paul Talley; it casts a pall over the entire prosecution. A reasonable juror, knowing that the prosecutor made an undisclosed deal with one key accomplice witness, would be overwhelmingly suspicious that she did the same with the other</w:t>
      </w:r>
      <w:r w:rsidR="00D21834">
        <w:rPr>
          <w:rFonts w:ascii="Times New Roman" w:hAnsi="Times New Roman" w:cs="Times New Roman"/>
          <w:sz w:val="24"/>
          <w:szCs w:val="24"/>
        </w:rPr>
        <w:t xml:space="preserve"> – both of whom, it must be noted, ultimately pled out to deal</w:t>
      </w:r>
      <w:r w:rsidR="004066C0">
        <w:rPr>
          <w:rFonts w:ascii="Times New Roman" w:hAnsi="Times New Roman" w:cs="Times New Roman"/>
          <w:sz w:val="24"/>
          <w:szCs w:val="24"/>
        </w:rPr>
        <w:t>s</w:t>
      </w:r>
      <w:r w:rsidR="00D21834">
        <w:rPr>
          <w:rFonts w:ascii="Times New Roman" w:hAnsi="Times New Roman" w:cs="Times New Roman"/>
          <w:sz w:val="24"/>
          <w:szCs w:val="24"/>
        </w:rPr>
        <w:t xml:space="preserve"> in which they served not </w:t>
      </w:r>
      <w:r w:rsidR="00D21834" w:rsidRPr="004066C0">
        <w:rPr>
          <w:rFonts w:ascii="Times New Roman" w:hAnsi="Times New Roman" w:cs="Times New Roman"/>
          <w:i/>
          <w:sz w:val="24"/>
          <w:szCs w:val="24"/>
        </w:rPr>
        <w:t>one day</w:t>
      </w:r>
      <w:r w:rsidR="004066C0">
        <w:rPr>
          <w:rFonts w:ascii="Times New Roman" w:hAnsi="Times New Roman" w:cs="Times New Roman"/>
          <w:sz w:val="24"/>
          <w:szCs w:val="24"/>
        </w:rPr>
        <w:t xml:space="preserve"> of jail time for their involvement in this murder. </w:t>
      </w:r>
      <w:r w:rsidR="00AB6C07" w:rsidRPr="00AB6C07">
        <w:rPr>
          <w:rFonts w:ascii="Times New Roman" w:hAnsi="Times New Roman" w:cs="Times New Roman"/>
          <w:sz w:val="24"/>
          <w:szCs w:val="24"/>
        </w:rPr>
        <w:t>The State’s pattern of conduct destroys the presumption that Glenn’s testimony was anything other than similarly coerced and induced. No reasonable juror would convict a man of murder based solely on the uncorroborated and deeply suspect testimony of a single remaining accomplice, especially in a case tainted by such clear government misconduct.</w:t>
      </w:r>
    </w:p>
    <w:p w14:paraId="07DBC87C" w14:textId="77777777" w:rsidR="00AB6C07" w:rsidRPr="008A3D53" w:rsidRDefault="00AB6C07" w:rsidP="00AC7ADA">
      <w:pPr>
        <w:pStyle w:val="PlainText"/>
        <w:spacing w:line="360" w:lineRule="auto"/>
        <w:jc w:val="both"/>
        <w:rPr>
          <w:rFonts w:ascii="Times New Roman" w:hAnsi="Times New Roman" w:cs="Times New Roman"/>
          <w:sz w:val="16"/>
          <w:szCs w:val="16"/>
        </w:rPr>
      </w:pPr>
    </w:p>
    <w:p w14:paraId="15A6F8D8" w14:textId="77777777" w:rsidR="00AB6C07" w:rsidRPr="00AC7ADA" w:rsidRDefault="00AB6C07" w:rsidP="0072618C">
      <w:pPr>
        <w:pStyle w:val="PlainText"/>
        <w:numPr>
          <w:ilvl w:val="0"/>
          <w:numId w:val="8"/>
        </w:numPr>
        <w:spacing w:line="360" w:lineRule="auto"/>
        <w:jc w:val="both"/>
        <w:rPr>
          <w:rFonts w:ascii="Times New Roman" w:hAnsi="Times New Roman" w:cs="Times New Roman"/>
          <w:b/>
          <w:sz w:val="24"/>
          <w:szCs w:val="24"/>
        </w:rPr>
      </w:pPr>
      <w:r w:rsidRPr="00AC7ADA">
        <w:rPr>
          <w:rFonts w:ascii="Times New Roman" w:hAnsi="Times New Roman" w:cs="Times New Roman"/>
          <w:b/>
          <w:sz w:val="24"/>
          <w:szCs w:val="24"/>
        </w:rPr>
        <w:t>The State’s Felony Murder Theory Collapses Without Evidence of Petitioner's Participation.</w:t>
      </w:r>
    </w:p>
    <w:p w14:paraId="41A527FF" w14:textId="77777777" w:rsidR="00AB6C07" w:rsidRPr="001D0B01" w:rsidRDefault="00AB6C07" w:rsidP="00AC7ADA">
      <w:pPr>
        <w:pStyle w:val="PlainText"/>
        <w:spacing w:line="360" w:lineRule="auto"/>
        <w:jc w:val="both"/>
        <w:rPr>
          <w:rFonts w:ascii="Times New Roman" w:hAnsi="Times New Roman" w:cs="Times New Roman"/>
          <w:sz w:val="16"/>
          <w:szCs w:val="16"/>
        </w:rPr>
      </w:pPr>
    </w:p>
    <w:p w14:paraId="77FC3DF2" w14:textId="77777777" w:rsidR="00AB6C07" w:rsidRPr="00AB6C07" w:rsidRDefault="0072618C" w:rsidP="0078147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The State parrots the flawed reasoning of the state court, arguing that because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was convicted of felony murder, the identity of the actual shooter is irrelevant. (D.E. 8-1, </w:t>
      </w:r>
      <w:r w:rsidR="001D0B01">
        <w:rPr>
          <w:rFonts w:ascii="Times New Roman" w:hAnsi="Times New Roman" w:cs="Times New Roman"/>
          <w:sz w:val="24"/>
          <w:szCs w:val="24"/>
        </w:rPr>
        <w:t>Page</w:t>
      </w:r>
      <w:r w:rsidR="00AB6C07" w:rsidRPr="00AB6C07">
        <w:rPr>
          <w:rFonts w:ascii="Times New Roman" w:hAnsi="Times New Roman" w:cs="Times New Roman"/>
          <w:sz w:val="24"/>
          <w:szCs w:val="24"/>
        </w:rPr>
        <w:t xml:space="preserve"> 16). This argument misses the point entirely. The new evidence is not merely about who pulled the trigger; it is about who was present and participated in the underlying felony</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 xml:space="preserve">the attempted </w:t>
      </w:r>
      <w:r w:rsidR="00AB6C07" w:rsidRPr="00AB6C07">
        <w:rPr>
          <w:rFonts w:ascii="Times New Roman" w:hAnsi="Times New Roman" w:cs="Times New Roman"/>
          <w:sz w:val="24"/>
          <w:szCs w:val="24"/>
        </w:rPr>
        <w:lastRenderedPageBreak/>
        <w:t xml:space="preserve">robbery. To be guilty of felony murder, the State had to prove that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participated in that robbery. The new evidence clearly and convincingly shows he did not.</w:t>
      </w:r>
    </w:p>
    <w:p w14:paraId="22E164BA" w14:textId="77777777" w:rsidR="00AB6C07" w:rsidRPr="00AB6C07" w:rsidRDefault="0072618C"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Paul Talley’s 1999 statement to police did not just name a different shooter; it described a group of perpetrators that </w:t>
      </w:r>
      <w:r w:rsidR="00AB6C07" w:rsidRPr="00FF18BA">
        <w:rPr>
          <w:rFonts w:ascii="Times New Roman" w:hAnsi="Times New Roman" w:cs="Times New Roman"/>
          <w:i/>
          <w:sz w:val="24"/>
          <w:szCs w:val="24"/>
        </w:rPr>
        <w:t xml:space="preserve">did not include </w:t>
      </w:r>
      <w:r w:rsidR="001D0B01" w:rsidRPr="00FF18BA">
        <w:rPr>
          <w:rFonts w:ascii="Times New Roman" w:hAnsi="Times New Roman" w:cs="Times New Roman"/>
          <w:i/>
          <w:sz w:val="24"/>
          <w:szCs w:val="24"/>
        </w:rPr>
        <w:t>Movant</w:t>
      </w:r>
      <w:r w:rsidR="00AB6C07" w:rsidRPr="00AB6C07">
        <w:rPr>
          <w:rFonts w:ascii="Times New Roman" w:hAnsi="Times New Roman" w:cs="Times New Roman"/>
          <w:sz w:val="24"/>
          <w:szCs w:val="24"/>
        </w:rPr>
        <w:t xml:space="preserve">. Fred Talley’s recantation does not just impeach his brother; it affirmatively removes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from the group that assembled on the night of the crime. Without any credible evidence placing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at the scene or showing his involvement in the underlying robbery, the State’s felony murder theory is legally impossible. The State cannot convict a man for a murder that occurs during a felony in which he did not participate.</w:t>
      </w:r>
    </w:p>
    <w:p w14:paraId="3BE1F821" w14:textId="77777777" w:rsidR="00AB6C07" w:rsidRPr="008A3D53" w:rsidRDefault="00AB6C07" w:rsidP="00AC7ADA">
      <w:pPr>
        <w:pStyle w:val="PlainText"/>
        <w:spacing w:line="360" w:lineRule="auto"/>
        <w:jc w:val="both"/>
        <w:rPr>
          <w:rFonts w:ascii="Times New Roman" w:hAnsi="Times New Roman" w:cs="Times New Roman"/>
          <w:sz w:val="16"/>
          <w:szCs w:val="16"/>
        </w:rPr>
      </w:pPr>
    </w:p>
    <w:p w14:paraId="66F8EB8B" w14:textId="77777777" w:rsidR="00AB6C07" w:rsidRPr="00AC7ADA" w:rsidRDefault="00AB6C07" w:rsidP="0072618C">
      <w:pPr>
        <w:pStyle w:val="PlainText"/>
        <w:numPr>
          <w:ilvl w:val="0"/>
          <w:numId w:val="8"/>
        </w:numPr>
        <w:spacing w:line="360" w:lineRule="auto"/>
        <w:jc w:val="both"/>
        <w:rPr>
          <w:rFonts w:ascii="Times New Roman" w:hAnsi="Times New Roman" w:cs="Times New Roman"/>
          <w:b/>
          <w:sz w:val="24"/>
          <w:szCs w:val="24"/>
        </w:rPr>
      </w:pPr>
      <w:r w:rsidRPr="00AC7ADA">
        <w:rPr>
          <w:rFonts w:ascii="Times New Roman" w:hAnsi="Times New Roman" w:cs="Times New Roman"/>
          <w:b/>
          <w:sz w:val="24"/>
          <w:szCs w:val="24"/>
        </w:rPr>
        <w:t>No Reasonable Juror Would Convict on the Eviscerated Evidence That Remains.</w:t>
      </w:r>
    </w:p>
    <w:p w14:paraId="7671205D" w14:textId="77777777" w:rsidR="00AB6C07" w:rsidRPr="008A3D53" w:rsidRDefault="00AB6C07" w:rsidP="00AC7ADA">
      <w:pPr>
        <w:pStyle w:val="PlainText"/>
        <w:spacing w:line="360" w:lineRule="auto"/>
        <w:jc w:val="both"/>
        <w:rPr>
          <w:rFonts w:ascii="Times New Roman" w:hAnsi="Times New Roman" w:cs="Times New Roman"/>
          <w:sz w:val="16"/>
          <w:szCs w:val="16"/>
        </w:rPr>
      </w:pPr>
    </w:p>
    <w:p w14:paraId="6CF38D10" w14:textId="2F442D15" w:rsidR="00AB6C07" w:rsidRDefault="0072618C" w:rsidP="0078147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When all the evidence</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old and new</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 xml:space="preserve">is considered, the State’s case is a hollow shell. A reasonable juror would be confronted with a case lacking </w:t>
      </w:r>
      <w:r w:rsidR="00AB6C07" w:rsidRPr="004066C0">
        <w:rPr>
          <w:rFonts w:ascii="Times New Roman" w:hAnsi="Times New Roman" w:cs="Times New Roman"/>
          <w:i/>
          <w:sz w:val="24"/>
          <w:szCs w:val="24"/>
        </w:rPr>
        <w:t>any</w:t>
      </w:r>
      <w:r w:rsidR="00AB6C07" w:rsidRPr="00AB6C07">
        <w:rPr>
          <w:rFonts w:ascii="Times New Roman" w:hAnsi="Times New Roman" w:cs="Times New Roman"/>
          <w:sz w:val="24"/>
          <w:szCs w:val="24"/>
        </w:rPr>
        <w:t xml:space="preserve"> physical evidence, </w:t>
      </w:r>
      <w:r w:rsidR="00AB6C07" w:rsidRPr="004066C0">
        <w:rPr>
          <w:rFonts w:ascii="Times New Roman" w:hAnsi="Times New Roman" w:cs="Times New Roman"/>
          <w:i/>
          <w:sz w:val="24"/>
          <w:szCs w:val="24"/>
        </w:rPr>
        <w:t>any</w:t>
      </w:r>
      <w:r w:rsidR="00AB6C07" w:rsidRPr="00AB6C07">
        <w:rPr>
          <w:rFonts w:ascii="Times New Roman" w:hAnsi="Times New Roman" w:cs="Times New Roman"/>
          <w:sz w:val="24"/>
          <w:szCs w:val="24"/>
        </w:rPr>
        <w:t xml:space="preserve"> credible eyewitness testimony, and </w:t>
      </w:r>
      <w:r w:rsidR="00AB6C07" w:rsidRPr="004066C0">
        <w:rPr>
          <w:rFonts w:ascii="Times New Roman" w:hAnsi="Times New Roman" w:cs="Times New Roman"/>
          <w:i/>
          <w:sz w:val="24"/>
          <w:szCs w:val="24"/>
        </w:rPr>
        <w:t>any</w:t>
      </w:r>
      <w:r w:rsidR="00AB6C07" w:rsidRPr="00AB6C07">
        <w:rPr>
          <w:rFonts w:ascii="Times New Roman" w:hAnsi="Times New Roman" w:cs="Times New Roman"/>
          <w:sz w:val="24"/>
          <w:szCs w:val="24"/>
        </w:rPr>
        <w:t xml:space="preserve"> non-accomplice corroboration. They would be left only with the uncorroborated testimony of Torrey Glenn, an accomplice whose credibility is destroyed by the prosecutor’s proven misconduct with his counterpart. This is the definition of reasonable doubt. To remove the double negative, any reasonable juror would have reasonable doubt. See </w:t>
      </w:r>
      <w:r w:rsidR="00AB6C07" w:rsidRPr="00FF18BA">
        <w:rPr>
          <w:rFonts w:ascii="Times New Roman" w:hAnsi="Times New Roman" w:cs="Times New Roman"/>
          <w:i/>
          <w:sz w:val="24"/>
          <w:szCs w:val="24"/>
        </w:rPr>
        <w:t>House</w:t>
      </w:r>
      <w:r w:rsidR="00AB6C07" w:rsidRPr="00AB6C07">
        <w:rPr>
          <w:rFonts w:ascii="Times New Roman" w:hAnsi="Times New Roman" w:cs="Times New Roman"/>
          <w:sz w:val="24"/>
          <w:szCs w:val="24"/>
        </w:rPr>
        <w:t xml:space="preserve">, 547 U.S. at 538.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has made a prima facie showing that he is entitled to pass through the § 2244(b) gate and prove his innocence in the district court.</w:t>
      </w:r>
    </w:p>
    <w:p w14:paraId="6582394C" w14:textId="77777777" w:rsidR="004066C0" w:rsidRPr="00AB6C07" w:rsidRDefault="004066C0" w:rsidP="004066C0">
      <w:pPr>
        <w:pStyle w:val="PlainText"/>
        <w:jc w:val="both"/>
        <w:rPr>
          <w:rFonts w:ascii="Times New Roman" w:hAnsi="Times New Roman" w:cs="Times New Roman"/>
          <w:sz w:val="24"/>
          <w:szCs w:val="24"/>
        </w:rPr>
      </w:pPr>
    </w:p>
    <w:p w14:paraId="567793A0" w14:textId="77777777" w:rsidR="00AB6C07" w:rsidRPr="00AC7ADA" w:rsidRDefault="00AB6C07" w:rsidP="00AC7ADA">
      <w:pPr>
        <w:pStyle w:val="PlainText"/>
        <w:spacing w:line="360" w:lineRule="auto"/>
        <w:jc w:val="center"/>
        <w:rPr>
          <w:rFonts w:ascii="Times New Roman" w:hAnsi="Times New Roman" w:cs="Times New Roman"/>
          <w:b/>
          <w:sz w:val="24"/>
          <w:szCs w:val="24"/>
        </w:rPr>
      </w:pPr>
      <w:r w:rsidRPr="00AC7ADA">
        <w:rPr>
          <w:rFonts w:ascii="Times New Roman" w:hAnsi="Times New Roman" w:cs="Times New Roman"/>
          <w:b/>
          <w:sz w:val="24"/>
          <w:szCs w:val="24"/>
        </w:rPr>
        <w:t>V. THE RECANTED TESTIMONY IS EXCEPTIONALLY CREDIBLE AND CORROBORATED BY THE STATE'S OWN SUPPRESSED EVIDENCE</w:t>
      </w:r>
    </w:p>
    <w:p w14:paraId="446741DC" w14:textId="77777777" w:rsidR="00AB6C07" w:rsidRPr="008A3D53" w:rsidRDefault="00AB6C07" w:rsidP="00AB6C07">
      <w:pPr>
        <w:pStyle w:val="PlainText"/>
        <w:spacing w:line="360" w:lineRule="auto"/>
        <w:rPr>
          <w:rFonts w:ascii="Times New Roman" w:hAnsi="Times New Roman" w:cs="Times New Roman"/>
          <w:sz w:val="16"/>
          <w:szCs w:val="16"/>
        </w:rPr>
      </w:pPr>
    </w:p>
    <w:p w14:paraId="48565B81" w14:textId="77777777" w:rsidR="00AB6C07" w:rsidRDefault="0072618C" w:rsidP="00C92AD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The State correctly notes that courts generally view recanted testimony with suspicion. This is a prudent and well-established principle. However, this is not the ordinary case of a witness simply changing their story years after trial. The recantations of Paul and Fred Talley are not presented in a vacuum; they are powerfully corroborated by objective, contemporaneous evidence that the State itself created and then suppressed for two decades. When viewed in this new context, the recantations are not suspect; they are compelling evidence of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’s innocence and the State’s misconduct.</w:t>
      </w:r>
    </w:p>
    <w:p w14:paraId="69498A63" w14:textId="45987845" w:rsidR="00FF18BA" w:rsidRDefault="00FF18BA" w:rsidP="00C92AD5">
      <w:pPr>
        <w:pStyle w:val="PlainText"/>
        <w:spacing w:after="240" w:line="360" w:lineRule="auto"/>
        <w:jc w:val="both"/>
        <w:rPr>
          <w:rFonts w:ascii="Times New Roman" w:hAnsi="Times New Roman" w:cs="Times New Roman"/>
          <w:sz w:val="24"/>
          <w:szCs w:val="24"/>
        </w:rPr>
      </w:pPr>
    </w:p>
    <w:p w14:paraId="454EE80F" w14:textId="724CC59D" w:rsidR="00AB6C07" w:rsidRPr="00AC7ADA" w:rsidRDefault="00AB6C07" w:rsidP="0072618C">
      <w:pPr>
        <w:pStyle w:val="PlainText"/>
        <w:numPr>
          <w:ilvl w:val="0"/>
          <w:numId w:val="10"/>
        </w:numPr>
        <w:spacing w:line="360" w:lineRule="auto"/>
        <w:jc w:val="both"/>
        <w:rPr>
          <w:rFonts w:ascii="Times New Roman" w:hAnsi="Times New Roman" w:cs="Times New Roman"/>
          <w:b/>
          <w:sz w:val="24"/>
          <w:szCs w:val="24"/>
        </w:rPr>
      </w:pPr>
      <w:r w:rsidRPr="00AC7ADA">
        <w:rPr>
          <w:rFonts w:ascii="Times New Roman" w:hAnsi="Times New Roman" w:cs="Times New Roman"/>
          <w:b/>
          <w:sz w:val="24"/>
          <w:szCs w:val="24"/>
        </w:rPr>
        <w:lastRenderedPageBreak/>
        <w:t>Paul Talley’s Recantation Is Now Bolstered by Suppressed Evidence Proving It Is His Original, Truthful Account.</w:t>
      </w:r>
    </w:p>
    <w:p w14:paraId="454EE80F" w14:textId="724CC59D" w:rsidR="00AB6C07" w:rsidRPr="00C92AD5" w:rsidRDefault="00AB6C07" w:rsidP="00AC7ADA">
      <w:pPr>
        <w:pStyle w:val="PlainText"/>
        <w:spacing w:line="360" w:lineRule="auto"/>
        <w:jc w:val="both"/>
        <w:rPr>
          <w:rFonts w:ascii="Times New Roman" w:hAnsi="Times New Roman" w:cs="Times New Roman"/>
          <w:sz w:val="16"/>
          <w:szCs w:val="16"/>
        </w:rPr>
      </w:pPr>
    </w:p>
    <w:p w14:paraId="454EE80F" w14:textId="724CC59D" w:rsidR="00AB6C07" w:rsidRPr="00AB6C07" w:rsidRDefault="0072618C" w:rsidP="0078147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In 2016, this Court reviewed Paul Talley’s 2012 recantation and found it insufficient, standing alone, to meet the § 2244(b) standard. </w:t>
      </w:r>
      <w:r w:rsidR="00AB6C07" w:rsidRPr="00781475">
        <w:rPr>
          <w:rFonts w:ascii="Times New Roman" w:hAnsi="Times New Roman" w:cs="Times New Roman"/>
          <w:i/>
          <w:sz w:val="24"/>
          <w:szCs w:val="24"/>
        </w:rPr>
        <w:t>In re: Kenneth D. Thomas</w:t>
      </w:r>
      <w:r w:rsidR="00AB6C07" w:rsidRPr="00AB6C07">
        <w:rPr>
          <w:rFonts w:ascii="Times New Roman" w:hAnsi="Times New Roman" w:cs="Times New Roman"/>
          <w:sz w:val="24"/>
          <w:szCs w:val="24"/>
        </w:rPr>
        <w:t>, No. 16-5034 (6th Cir.). The evidentiary landscape has now been seismically altered. Mr. Talley’s recantation is no longer a standalone assertion; it is the final piece of a puzzle whose other pieces were hidden in the State’s files. Two crucial, newly discovered documents give his recantation the indicia of reliability it previously lacked.</w:t>
      </w:r>
    </w:p>
    <w:p w14:paraId="454EE80F" w14:textId="724CC59D" w:rsidR="00AB6C07" w:rsidRPr="00AB6C07" w:rsidRDefault="0072618C" w:rsidP="0078147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First, the suppressed April 1999 police interview provides objective, contemporaneous corroboration that the recantation reflects Mr. Talley’s original, and truthful, account of the murder. In that interview, given long before any plea negotiations, Mr. Talley told police that Torrey Glenn’s brother was the perpetrator and made no mention of </w:t>
      </w:r>
      <w:r w:rsidR="001D0B01">
        <w:rPr>
          <w:rFonts w:ascii="Times New Roman" w:hAnsi="Times New Roman" w:cs="Times New Roman"/>
          <w:sz w:val="24"/>
          <w:szCs w:val="24"/>
        </w:rPr>
        <w:t>Movant</w:t>
      </w:r>
      <w:r w:rsidR="004066C0">
        <w:rPr>
          <w:rFonts w:ascii="Times New Roman" w:hAnsi="Times New Roman" w:cs="Times New Roman"/>
          <w:sz w:val="24"/>
          <w:szCs w:val="24"/>
        </w:rPr>
        <w:t xml:space="preserve"> outside of his supposition that Movant sometimes “[hung] with” the real killer</w:t>
      </w:r>
      <w:r w:rsidR="00AB6C07" w:rsidRPr="00AB6C07">
        <w:rPr>
          <w:rFonts w:ascii="Times New Roman" w:hAnsi="Times New Roman" w:cs="Times New Roman"/>
          <w:sz w:val="24"/>
          <w:szCs w:val="24"/>
        </w:rPr>
        <w:t xml:space="preserve">. This aligns perfectly with his 2012 recantation, in which he swore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was not involved. This is no longer a simple credibility contest between Talley’s 2003 trial testimony and his 2012 recantation. It is now a contest between his trial testimony and the combined force of his recantation </w:t>
      </w:r>
      <w:r w:rsidR="00AB6C07" w:rsidRPr="00781475">
        <w:rPr>
          <w:rFonts w:ascii="Times New Roman" w:hAnsi="Times New Roman" w:cs="Times New Roman"/>
          <w:i/>
          <w:sz w:val="24"/>
          <w:szCs w:val="24"/>
        </w:rPr>
        <w:t>and</w:t>
      </w:r>
      <w:r w:rsidR="00AB6C07" w:rsidRPr="00AB6C07">
        <w:rPr>
          <w:rFonts w:ascii="Times New Roman" w:hAnsi="Times New Roman" w:cs="Times New Roman"/>
          <w:sz w:val="24"/>
          <w:szCs w:val="24"/>
        </w:rPr>
        <w:t xml:space="preserve"> his initial statement to police. The suppressed interview proves that implicating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was a later fabrication, not his first-hand account of the crime.</w:t>
      </w:r>
    </w:p>
    <w:p w14:paraId="454EE80F" w14:textId="724CC59D" w:rsidR="00AB6C07" w:rsidRPr="00AB6C07" w:rsidRDefault="00781475"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Second, the suppressed 2003 prosecutor’s letter provides the </w:t>
      </w:r>
      <w:r w:rsidR="00AB6C07" w:rsidRPr="004066C0">
        <w:rPr>
          <w:rFonts w:ascii="Times New Roman" w:hAnsi="Times New Roman" w:cs="Times New Roman"/>
          <w:i/>
          <w:sz w:val="24"/>
          <w:szCs w:val="24"/>
        </w:rPr>
        <w:t>motive</w:t>
      </w:r>
      <w:r w:rsidR="00AB6C07" w:rsidRPr="00AB6C07">
        <w:rPr>
          <w:rFonts w:ascii="Times New Roman" w:hAnsi="Times New Roman" w:cs="Times New Roman"/>
          <w:sz w:val="24"/>
          <w:szCs w:val="24"/>
        </w:rPr>
        <w:t xml:space="preserve"> for that fabrication. It reveals the undisclosed inducement</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that the prosecutor would “take his assistance under consideration”</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 xml:space="preserve">which explains </w:t>
      </w:r>
      <w:r w:rsidR="00AB6C07" w:rsidRPr="00781475">
        <w:rPr>
          <w:rFonts w:ascii="Times New Roman" w:hAnsi="Times New Roman" w:cs="Times New Roman"/>
          <w:i/>
          <w:sz w:val="24"/>
          <w:szCs w:val="24"/>
        </w:rPr>
        <w:t>why</w:t>
      </w:r>
      <w:r w:rsidR="00AB6C07" w:rsidRPr="00AB6C07">
        <w:rPr>
          <w:rFonts w:ascii="Times New Roman" w:hAnsi="Times New Roman" w:cs="Times New Roman"/>
          <w:sz w:val="24"/>
          <w:szCs w:val="24"/>
        </w:rPr>
        <w:t xml:space="preserve"> Mr. Talley abandoned his original, truthful account and adopted the State’s narrative at trial. The letter demonstrates that Mr. Talley had a powerful incentive to lie. Together, the 1999 interview and the 2003 letter transform the recantation from a mere change of heart into a verified confession of perjury, corroborated by the State’s </w:t>
      </w:r>
      <w:r w:rsidR="00AB6C07" w:rsidRPr="004066C0">
        <w:rPr>
          <w:rFonts w:ascii="Times New Roman" w:hAnsi="Times New Roman" w:cs="Times New Roman"/>
          <w:i/>
          <w:sz w:val="24"/>
          <w:szCs w:val="24"/>
        </w:rPr>
        <w:t>own</w:t>
      </w:r>
      <w:r w:rsidR="00AB6C07" w:rsidRPr="00AB6C07">
        <w:rPr>
          <w:rFonts w:ascii="Times New Roman" w:hAnsi="Times New Roman" w:cs="Times New Roman"/>
          <w:sz w:val="24"/>
          <w:szCs w:val="24"/>
        </w:rPr>
        <w:t xml:space="preserve"> records.</w:t>
      </w:r>
    </w:p>
    <w:p w14:paraId="454EE80F" w14:textId="724CC59D" w:rsidR="00AB6C07" w:rsidRPr="008A3D53" w:rsidRDefault="00AB6C07" w:rsidP="00AC7ADA">
      <w:pPr>
        <w:pStyle w:val="PlainText"/>
        <w:spacing w:line="360" w:lineRule="auto"/>
        <w:jc w:val="both"/>
        <w:rPr>
          <w:rFonts w:ascii="Times New Roman" w:hAnsi="Times New Roman" w:cs="Times New Roman"/>
          <w:sz w:val="16"/>
          <w:szCs w:val="16"/>
        </w:rPr>
      </w:pPr>
    </w:p>
    <w:p w14:paraId="454EE80F" w14:textId="724CC59D" w:rsidR="00AB6C07" w:rsidRPr="00AC7ADA" w:rsidRDefault="00AB6C07" w:rsidP="0072618C">
      <w:pPr>
        <w:pStyle w:val="PlainText"/>
        <w:numPr>
          <w:ilvl w:val="0"/>
          <w:numId w:val="10"/>
        </w:numPr>
        <w:spacing w:line="360" w:lineRule="auto"/>
        <w:jc w:val="both"/>
        <w:rPr>
          <w:rFonts w:ascii="Times New Roman" w:hAnsi="Times New Roman" w:cs="Times New Roman"/>
          <w:b/>
          <w:sz w:val="24"/>
          <w:szCs w:val="24"/>
        </w:rPr>
      </w:pPr>
      <w:r w:rsidRPr="00AC7ADA">
        <w:rPr>
          <w:rFonts w:ascii="Times New Roman" w:hAnsi="Times New Roman" w:cs="Times New Roman"/>
          <w:b/>
          <w:sz w:val="24"/>
          <w:szCs w:val="24"/>
        </w:rPr>
        <w:t xml:space="preserve">Fred Talley’s Recantation Removes the State’s Only </w:t>
      </w:r>
      <w:r w:rsidR="00C26B35">
        <w:rPr>
          <w:rFonts w:ascii="Times New Roman" w:hAnsi="Times New Roman" w:cs="Times New Roman"/>
          <w:b/>
          <w:sz w:val="24"/>
          <w:szCs w:val="24"/>
        </w:rPr>
        <w:t>Supposed “</w:t>
      </w:r>
      <w:r w:rsidRPr="00AC7ADA">
        <w:rPr>
          <w:rFonts w:ascii="Times New Roman" w:hAnsi="Times New Roman" w:cs="Times New Roman"/>
          <w:b/>
          <w:sz w:val="24"/>
          <w:szCs w:val="24"/>
        </w:rPr>
        <w:t>Corroboration</w:t>
      </w:r>
      <w:r w:rsidR="00C26B35">
        <w:rPr>
          <w:rFonts w:ascii="Times New Roman" w:hAnsi="Times New Roman" w:cs="Times New Roman"/>
          <w:b/>
          <w:sz w:val="24"/>
          <w:szCs w:val="24"/>
        </w:rPr>
        <w:t>”</w:t>
      </w:r>
      <w:r w:rsidRPr="00AC7ADA">
        <w:rPr>
          <w:rFonts w:ascii="Times New Roman" w:hAnsi="Times New Roman" w:cs="Times New Roman"/>
          <w:b/>
          <w:sz w:val="24"/>
          <w:szCs w:val="24"/>
        </w:rPr>
        <w:t xml:space="preserve"> and Aligns with All Other New Evidence.</w:t>
      </w:r>
    </w:p>
    <w:p w14:paraId="454EE80F" w14:textId="724CC59D" w:rsidR="00AB6C07" w:rsidRPr="008A3D53" w:rsidRDefault="00AB6C07" w:rsidP="00AC7ADA">
      <w:pPr>
        <w:pStyle w:val="PlainText"/>
        <w:spacing w:line="360" w:lineRule="auto"/>
        <w:jc w:val="both"/>
        <w:rPr>
          <w:rFonts w:ascii="Times New Roman" w:hAnsi="Times New Roman" w:cs="Times New Roman"/>
          <w:sz w:val="16"/>
          <w:szCs w:val="16"/>
        </w:rPr>
      </w:pPr>
    </w:p>
    <w:p w14:paraId="454EE80F" w14:textId="724CC59D" w:rsidR="00AB6C07" w:rsidRPr="00AB6C07" w:rsidRDefault="0072618C" w:rsidP="0078147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The recantation of Fred Talley is equally powerful, not only for what it says, but for its structural impact on the State’s case. Fred Talley was not just another witness; he was the State’s </w:t>
      </w:r>
      <w:r w:rsidR="00AB6C07" w:rsidRPr="00781475">
        <w:rPr>
          <w:rFonts w:ascii="Times New Roman" w:hAnsi="Times New Roman" w:cs="Times New Roman"/>
          <w:i/>
          <w:sz w:val="24"/>
          <w:szCs w:val="24"/>
        </w:rPr>
        <w:lastRenderedPageBreak/>
        <w:t>only</w:t>
      </w:r>
      <w:r w:rsidR="00AB6C07" w:rsidRPr="00AB6C07">
        <w:rPr>
          <w:rFonts w:ascii="Times New Roman" w:hAnsi="Times New Roman" w:cs="Times New Roman"/>
          <w:sz w:val="24"/>
          <w:szCs w:val="24"/>
        </w:rPr>
        <w:t xml:space="preserve"> non-accomplice corroborating witness. His testimony was the linchpin that allowed the jury to credit the otherwise suspect testimony of his brother. His recantation does not merely impeach the State’s case; it removes its very foundation.</w:t>
      </w:r>
    </w:p>
    <w:p w14:paraId="454EE80F" w14:textId="724CC59D" w:rsidR="00AB6C07" w:rsidRPr="00AB6C07" w:rsidRDefault="0072618C" w:rsidP="0078147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Furthermore, his recantation is highly credible. His stated motive for lying at trial</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to help his brother Paul with his pending charges</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 xml:space="preserve">is both logical and believable. (D.E. 8-1, </w:t>
      </w:r>
      <w:r w:rsidR="001D0B01">
        <w:rPr>
          <w:rFonts w:ascii="Times New Roman" w:hAnsi="Times New Roman" w:cs="Times New Roman"/>
          <w:sz w:val="24"/>
          <w:szCs w:val="24"/>
        </w:rPr>
        <w:t>Page</w:t>
      </w:r>
      <w:r w:rsidR="00AB6C07" w:rsidRPr="00AB6C07">
        <w:rPr>
          <w:rFonts w:ascii="Times New Roman" w:hAnsi="Times New Roman" w:cs="Times New Roman"/>
          <w:sz w:val="24"/>
          <w:szCs w:val="24"/>
        </w:rPr>
        <w:t xml:space="preserve"> 18). Conversely, he has no apparent motive to lie now. He gains nothing by coming forward to admit perjury, and he potentially exposes himself to criminal liability. His willingness to do so under oath lends his recantation significant weight.</w:t>
      </w:r>
    </w:p>
    <w:p w14:paraId="454EE80F" w14:textId="724CC59D" w:rsidR="00AB6C07" w:rsidRPr="00AB6C07" w:rsidRDefault="0072618C"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Most importantly, Fred Talley’s recantation does not stand alone. It fits seamlessly with the other newly discovered evidence to form a coherent narrative of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’s innocence. Paul Talley’s 1999 statement omitted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from the group of perpetrators; Fred Talley’s recantation now confirms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was not with the group when they assembled that night. Each piece of new evidence reinforces the others. The State’s case was a carefully constructed fiction, and the recantations, now supported by the State’s own suppressed files, expose the truth.</w:t>
      </w:r>
    </w:p>
    <w:p w14:paraId="454EE80F" w14:textId="724CC59D" w:rsidR="00AB6C07" w:rsidRPr="00AB6C07" w:rsidRDefault="00AB6C07" w:rsidP="00AB6C07">
      <w:pPr>
        <w:pStyle w:val="PlainText"/>
        <w:spacing w:line="360" w:lineRule="auto"/>
        <w:rPr>
          <w:rFonts w:ascii="Times New Roman" w:hAnsi="Times New Roman" w:cs="Times New Roman"/>
          <w:sz w:val="24"/>
          <w:szCs w:val="24"/>
        </w:rPr>
      </w:pPr>
    </w:p>
    <w:p w14:paraId="454EE80F" w14:textId="724CC59D" w:rsidR="00AB6C07" w:rsidRPr="00AC7ADA" w:rsidRDefault="00AB6C07" w:rsidP="00AC7ADA">
      <w:pPr>
        <w:pStyle w:val="PlainText"/>
        <w:spacing w:line="360" w:lineRule="auto"/>
        <w:jc w:val="center"/>
        <w:rPr>
          <w:rFonts w:ascii="Times New Roman" w:hAnsi="Times New Roman" w:cs="Times New Roman"/>
          <w:b/>
          <w:sz w:val="24"/>
          <w:szCs w:val="24"/>
        </w:rPr>
      </w:pPr>
      <w:r w:rsidRPr="00AC7ADA">
        <w:rPr>
          <w:rFonts w:ascii="Times New Roman" w:hAnsi="Times New Roman" w:cs="Times New Roman"/>
          <w:b/>
          <w:sz w:val="24"/>
          <w:szCs w:val="24"/>
        </w:rPr>
        <w:t>VI. PETITIONER SATISFIES THE DUE DILIGENCE REQUIREMENT OF § 2244(b)(2)(B)(i)</w:t>
      </w:r>
    </w:p>
    <w:p w14:paraId="454EE80F" w14:textId="724CC59D" w:rsidR="00AB6C07" w:rsidRPr="008A3D53" w:rsidRDefault="00AB6C07" w:rsidP="00AC7ADA">
      <w:pPr>
        <w:pStyle w:val="PlainText"/>
        <w:spacing w:line="360" w:lineRule="auto"/>
        <w:jc w:val="both"/>
        <w:rPr>
          <w:rFonts w:ascii="Times New Roman" w:hAnsi="Times New Roman" w:cs="Times New Roman"/>
          <w:sz w:val="16"/>
          <w:szCs w:val="16"/>
        </w:rPr>
      </w:pPr>
    </w:p>
    <w:p w14:paraId="454EE80F" w14:textId="724CC59D" w:rsidR="00AB6C07" w:rsidRPr="00AB6C07" w:rsidRDefault="0072618C"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The State’s opposition erects an impossible standard of due diligence, arguing that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should have discovered evidence that the State itself actively suppressed</w:t>
      </w:r>
      <w:r w:rsidR="00C26B35">
        <w:rPr>
          <w:rFonts w:ascii="Times New Roman" w:hAnsi="Times New Roman" w:cs="Times New Roman"/>
          <w:sz w:val="24"/>
          <w:szCs w:val="24"/>
        </w:rPr>
        <w:t xml:space="preserve"> and</w:t>
      </w:r>
      <w:r w:rsidR="00AB6C07" w:rsidRPr="00AB6C07">
        <w:rPr>
          <w:rFonts w:ascii="Times New Roman" w:hAnsi="Times New Roman" w:cs="Times New Roman"/>
          <w:sz w:val="24"/>
          <w:szCs w:val="24"/>
        </w:rPr>
        <w:t xml:space="preserve"> a</w:t>
      </w:r>
      <w:r w:rsidR="00C26B35">
        <w:rPr>
          <w:rFonts w:ascii="Times New Roman" w:hAnsi="Times New Roman" w:cs="Times New Roman"/>
          <w:sz w:val="24"/>
          <w:szCs w:val="24"/>
        </w:rPr>
        <w:t>mi</w:t>
      </w:r>
      <w:r w:rsidR="00AB6C07" w:rsidRPr="00AB6C07">
        <w:rPr>
          <w:rFonts w:ascii="Times New Roman" w:hAnsi="Times New Roman" w:cs="Times New Roman"/>
          <w:sz w:val="24"/>
          <w:szCs w:val="24"/>
        </w:rPr>
        <w:t xml:space="preserve">d factual predicates that did not yet exist. This misconstrues the plain language and purpose of 28 U.S.C. § 2244(b)(2)(B)(i). The statute requires that “the factual predicate for the claim could not have been discovered previously through the exercise of due diligence.” This standard is one of reasonable, not extraordinary or clairvoyant, efforts. See </w:t>
      </w:r>
      <w:r w:rsidR="00AB6C07" w:rsidRPr="00C92AD5">
        <w:rPr>
          <w:rFonts w:ascii="Times New Roman" w:hAnsi="Times New Roman" w:cs="Times New Roman"/>
          <w:i/>
          <w:sz w:val="24"/>
          <w:szCs w:val="24"/>
        </w:rPr>
        <w:t>McQuiggin v. Perkins</w:t>
      </w:r>
      <w:r w:rsidR="00AB6C07" w:rsidRPr="00AB6C07">
        <w:rPr>
          <w:rFonts w:ascii="Times New Roman" w:hAnsi="Times New Roman" w:cs="Times New Roman"/>
          <w:sz w:val="24"/>
          <w:szCs w:val="24"/>
        </w:rPr>
        <w:t xml:space="preserve">, 569 U.S. 383, 399 (2013). Due diligence does not require a petitioner to unearth evidence the government has successfully concealed, nor does it require him to obtain a witness’s confession of perjury before that witness is willing to confess.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plainly satisfies this requirement for each of his claims.</w:t>
      </w:r>
    </w:p>
    <w:p w14:paraId="454EE80F" w14:textId="724CC59D" w:rsidR="00AB6C07" w:rsidRDefault="00AB6C07" w:rsidP="00AC7ADA">
      <w:pPr>
        <w:pStyle w:val="PlainText"/>
        <w:spacing w:line="360" w:lineRule="auto"/>
        <w:jc w:val="both"/>
        <w:rPr>
          <w:rFonts w:ascii="Times New Roman" w:hAnsi="Times New Roman" w:cs="Times New Roman"/>
          <w:sz w:val="24"/>
          <w:szCs w:val="24"/>
        </w:rPr>
      </w:pPr>
    </w:p>
    <w:p w14:paraId="7F295718" w14:textId="77777777" w:rsidR="00FF18BA" w:rsidRDefault="00FF18BA" w:rsidP="00AC7ADA">
      <w:pPr>
        <w:pStyle w:val="PlainText"/>
        <w:spacing w:line="360" w:lineRule="auto"/>
        <w:jc w:val="both"/>
        <w:rPr>
          <w:rFonts w:ascii="Times New Roman" w:hAnsi="Times New Roman" w:cs="Times New Roman"/>
          <w:sz w:val="24"/>
          <w:szCs w:val="24"/>
        </w:rPr>
      </w:pPr>
    </w:p>
    <w:p w14:paraId="27526C13" w14:textId="76EA778E" w:rsidR="00FF18BA" w:rsidRPr="00AB6C07" w:rsidRDefault="00FF18BA" w:rsidP="00AC7ADA">
      <w:pPr>
        <w:pStyle w:val="PlainText"/>
        <w:spacing w:line="360" w:lineRule="auto"/>
        <w:jc w:val="both"/>
        <w:rPr>
          <w:rFonts w:ascii="Times New Roman" w:hAnsi="Times New Roman" w:cs="Times New Roman"/>
          <w:sz w:val="24"/>
          <w:szCs w:val="24"/>
        </w:rPr>
      </w:pPr>
    </w:p>
    <w:p w14:paraId="27526C13" w14:textId="76EA778E" w:rsidR="00AB6C07" w:rsidRPr="00AC7ADA" w:rsidRDefault="00AB6C07" w:rsidP="0072618C">
      <w:pPr>
        <w:pStyle w:val="PlainText"/>
        <w:numPr>
          <w:ilvl w:val="0"/>
          <w:numId w:val="11"/>
        </w:numPr>
        <w:spacing w:line="360" w:lineRule="auto"/>
        <w:jc w:val="both"/>
        <w:rPr>
          <w:rFonts w:ascii="Times New Roman" w:hAnsi="Times New Roman" w:cs="Times New Roman"/>
          <w:b/>
          <w:sz w:val="24"/>
          <w:szCs w:val="24"/>
        </w:rPr>
      </w:pPr>
      <w:r w:rsidRPr="00AC7ADA">
        <w:rPr>
          <w:rFonts w:ascii="Times New Roman" w:hAnsi="Times New Roman" w:cs="Times New Roman"/>
          <w:b/>
          <w:sz w:val="24"/>
          <w:szCs w:val="24"/>
        </w:rPr>
        <w:lastRenderedPageBreak/>
        <w:t xml:space="preserve">The Factual Predicates for the </w:t>
      </w:r>
      <w:r w:rsidRPr="00AC7ADA">
        <w:rPr>
          <w:rFonts w:ascii="Times New Roman" w:hAnsi="Times New Roman" w:cs="Times New Roman"/>
          <w:b/>
          <w:i/>
          <w:sz w:val="24"/>
          <w:szCs w:val="24"/>
        </w:rPr>
        <w:t>Brady</w:t>
      </w:r>
      <w:r w:rsidRPr="00AC7ADA">
        <w:rPr>
          <w:rFonts w:ascii="Times New Roman" w:hAnsi="Times New Roman" w:cs="Times New Roman"/>
          <w:b/>
          <w:sz w:val="24"/>
          <w:szCs w:val="24"/>
        </w:rPr>
        <w:t xml:space="preserve"> and </w:t>
      </w:r>
      <w:r w:rsidRPr="00AC7ADA">
        <w:rPr>
          <w:rFonts w:ascii="Times New Roman" w:hAnsi="Times New Roman" w:cs="Times New Roman"/>
          <w:b/>
          <w:i/>
          <w:sz w:val="24"/>
          <w:szCs w:val="24"/>
        </w:rPr>
        <w:t>Giglio</w:t>
      </w:r>
      <w:r w:rsidRPr="00AC7ADA">
        <w:rPr>
          <w:rFonts w:ascii="Times New Roman" w:hAnsi="Times New Roman" w:cs="Times New Roman"/>
          <w:b/>
          <w:sz w:val="24"/>
          <w:szCs w:val="24"/>
        </w:rPr>
        <w:t xml:space="preserve"> Claims Were Undiscoverable Because the State Actively Suppressed Them.</w:t>
      </w:r>
    </w:p>
    <w:p w14:paraId="27526C13" w14:textId="76EA778E" w:rsidR="00AB6C07" w:rsidRPr="008A3D53" w:rsidRDefault="00AB6C07" w:rsidP="00AC7ADA">
      <w:pPr>
        <w:pStyle w:val="PlainText"/>
        <w:spacing w:line="360" w:lineRule="auto"/>
        <w:jc w:val="both"/>
        <w:rPr>
          <w:rFonts w:ascii="Times New Roman" w:hAnsi="Times New Roman" w:cs="Times New Roman"/>
          <w:sz w:val="16"/>
          <w:szCs w:val="16"/>
        </w:rPr>
      </w:pPr>
    </w:p>
    <w:p w14:paraId="27526C13" w14:textId="76EA778E" w:rsidR="00AB6C07" w:rsidRPr="00AB6C07" w:rsidRDefault="0072618C" w:rsidP="00FF18BA">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The factual predicates for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’s </w:t>
      </w:r>
      <w:r w:rsidR="001D0B01" w:rsidRPr="00C92AD5">
        <w:rPr>
          <w:rFonts w:ascii="Times New Roman" w:hAnsi="Times New Roman" w:cs="Times New Roman"/>
          <w:i/>
          <w:sz w:val="24"/>
          <w:szCs w:val="24"/>
        </w:rPr>
        <w:t>Brady</w:t>
      </w:r>
      <w:r w:rsidR="00AB6C07" w:rsidRPr="00AB6C07">
        <w:rPr>
          <w:rFonts w:ascii="Times New Roman" w:hAnsi="Times New Roman" w:cs="Times New Roman"/>
          <w:sz w:val="24"/>
          <w:szCs w:val="24"/>
        </w:rPr>
        <w:t xml:space="preserve"> and </w:t>
      </w:r>
      <w:r w:rsidR="001D0B01" w:rsidRPr="00C92AD5">
        <w:rPr>
          <w:rFonts w:ascii="Times New Roman" w:hAnsi="Times New Roman" w:cs="Times New Roman"/>
          <w:i/>
          <w:sz w:val="24"/>
          <w:szCs w:val="24"/>
        </w:rPr>
        <w:t>Giglio</w:t>
      </w:r>
      <w:r w:rsidR="00AB6C07" w:rsidRPr="00AB6C07">
        <w:rPr>
          <w:rFonts w:ascii="Times New Roman" w:hAnsi="Times New Roman" w:cs="Times New Roman"/>
          <w:sz w:val="24"/>
          <w:szCs w:val="24"/>
        </w:rPr>
        <w:t xml:space="preserve"> claims</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the exculpatory content of Paul Talley’s 1999 interview and the prosecutor’s 2003 letter revealing an undisclosed inducement</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were not merely undiscovered; they were undiscoverable. The reason for the two-decade delay in their discovery is simple and singular: the State of Tennessee failed to comply with its constitutional obligations and suppressed them.</w:t>
      </w:r>
    </w:p>
    <w:p w14:paraId="27526C13" w14:textId="76EA778E" w:rsidR="00AB6C07" w:rsidRPr="00AB6C07" w:rsidRDefault="0072618C"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The State’s argument that the 1999 interview was discoverable because its discovery response mentioned “a statement” is a cynical attempt to shift the blame for its own constitutional violation. The “factual predicate” for a </w:t>
      </w:r>
      <w:r w:rsidR="001D0B01" w:rsidRPr="00C26B35">
        <w:rPr>
          <w:rFonts w:ascii="Times New Roman" w:hAnsi="Times New Roman" w:cs="Times New Roman"/>
          <w:i/>
          <w:sz w:val="24"/>
          <w:szCs w:val="24"/>
        </w:rPr>
        <w:t>Brady</w:t>
      </w:r>
      <w:r w:rsidR="00AB6C07" w:rsidRPr="00AB6C07">
        <w:rPr>
          <w:rFonts w:ascii="Times New Roman" w:hAnsi="Times New Roman" w:cs="Times New Roman"/>
          <w:sz w:val="24"/>
          <w:szCs w:val="24"/>
        </w:rPr>
        <w:t xml:space="preserve"> claim is not the mere existence of a statement, but its </w:t>
      </w:r>
      <w:r w:rsidR="00AB6C07" w:rsidRPr="006E76C9">
        <w:rPr>
          <w:rFonts w:ascii="Times New Roman" w:hAnsi="Times New Roman" w:cs="Times New Roman"/>
          <w:i/>
          <w:sz w:val="24"/>
          <w:szCs w:val="24"/>
        </w:rPr>
        <w:t>exculpatory content</w:t>
      </w:r>
      <w:r w:rsidR="00AB6C07" w:rsidRPr="00AB6C07">
        <w:rPr>
          <w:rFonts w:ascii="Times New Roman" w:hAnsi="Times New Roman" w:cs="Times New Roman"/>
          <w:sz w:val="24"/>
          <w:szCs w:val="24"/>
        </w:rPr>
        <w:t xml:space="preserve">. See </w:t>
      </w:r>
      <w:r w:rsidR="00AB6C07" w:rsidRPr="00C92AD5">
        <w:rPr>
          <w:rFonts w:ascii="Times New Roman" w:hAnsi="Times New Roman" w:cs="Times New Roman"/>
          <w:i/>
          <w:sz w:val="24"/>
          <w:szCs w:val="24"/>
        </w:rPr>
        <w:t>Banks v. Dretke</w:t>
      </w:r>
      <w:r w:rsidR="00AB6C07" w:rsidRPr="00AB6C07">
        <w:rPr>
          <w:rFonts w:ascii="Times New Roman" w:hAnsi="Times New Roman" w:cs="Times New Roman"/>
          <w:sz w:val="24"/>
          <w:szCs w:val="24"/>
        </w:rPr>
        <w:t xml:space="preserve">, 540 U.S. 668, 696 (2004) (holding that where the State gives a misleading impression that it has disclosed all </w:t>
      </w:r>
      <w:r w:rsidR="001D0B01" w:rsidRPr="00C92AD5">
        <w:rPr>
          <w:rFonts w:ascii="Times New Roman" w:hAnsi="Times New Roman" w:cs="Times New Roman"/>
          <w:i/>
          <w:sz w:val="24"/>
          <w:szCs w:val="24"/>
        </w:rPr>
        <w:t>Brady</w:t>
      </w:r>
      <w:r w:rsidR="00AB6C07" w:rsidRPr="00AB6C07">
        <w:rPr>
          <w:rFonts w:ascii="Times New Roman" w:hAnsi="Times New Roman" w:cs="Times New Roman"/>
          <w:sz w:val="24"/>
          <w:szCs w:val="24"/>
        </w:rPr>
        <w:t xml:space="preserve"> material, the defense is not required to "scavenge for hints of undisclosed deals"). The State’s generic response, which failed to disclose that the interview contained powerful exculpatory information and was located in the file of a separate case, was actively misleading. Due diligence does not require defense counsel to assume the State is hiding evidence and to embark on a fishing expedition through unrelated case files in search of it. The State’s reliance on the state court’s speculative finding that the interview was “known” to trial counsel is equally unavailing. </w:t>
      </w:r>
      <w:r w:rsidR="00CE7C0C">
        <w:rPr>
          <w:rFonts w:ascii="Times New Roman" w:hAnsi="Times New Roman" w:cs="Times New Roman"/>
          <w:sz w:val="24"/>
          <w:szCs w:val="24"/>
        </w:rPr>
        <w:t>Furthermore, i</w:t>
      </w:r>
      <w:r w:rsidR="00C26B35">
        <w:rPr>
          <w:rFonts w:ascii="Times New Roman" w:hAnsi="Times New Roman" w:cs="Times New Roman"/>
          <w:sz w:val="24"/>
          <w:szCs w:val="24"/>
        </w:rPr>
        <w:t xml:space="preserve">t is </w:t>
      </w:r>
      <w:r w:rsidR="00C26B35" w:rsidRPr="00CE7C0C">
        <w:rPr>
          <w:rFonts w:ascii="Times New Roman" w:hAnsi="Times New Roman" w:cs="Times New Roman"/>
          <w:i/>
          <w:sz w:val="24"/>
          <w:szCs w:val="24"/>
        </w:rPr>
        <w:t>astounding</w:t>
      </w:r>
      <w:r w:rsidR="00C26B35">
        <w:rPr>
          <w:rFonts w:ascii="Times New Roman" w:hAnsi="Times New Roman" w:cs="Times New Roman"/>
          <w:sz w:val="24"/>
          <w:szCs w:val="24"/>
        </w:rPr>
        <w:t xml:space="preserve"> that the State </w:t>
      </w:r>
      <w:r w:rsidR="00CE7C0C">
        <w:rPr>
          <w:rFonts w:ascii="Times New Roman" w:hAnsi="Times New Roman" w:cs="Times New Roman"/>
          <w:sz w:val="24"/>
          <w:szCs w:val="24"/>
        </w:rPr>
        <w:t xml:space="preserve">and its courts </w:t>
      </w:r>
      <w:r w:rsidR="00C26B35">
        <w:rPr>
          <w:rFonts w:ascii="Times New Roman" w:hAnsi="Times New Roman" w:cs="Times New Roman"/>
          <w:sz w:val="24"/>
          <w:szCs w:val="24"/>
        </w:rPr>
        <w:t xml:space="preserve">assert that a defense attorney would know to research files from a case unrelated to her own </w:t>
      </w:r>
      <w:r w:rsidR="00CE7C0C">
        <w:rPr>
          <w:rFonts w:ascii="Times New Roman" w:hAnsi="Times New Roman" w:cs="Times New Roman"/>
          <w:sz w:val="24"/>
          <w:szCs w:val="24"/>
        </w:rPr>
        <w:t xml:space="preserve">– that </w:t>
      </w:r>
      <w:r w:rsidR="00C26B35">
        <w:rPr>
          <w:rFonts w:ascii="Times New Roman" w:hAnsi="Times New Roman" w:cs="Times New Roman"/>
          <w:sz w:val="24"/>
          <w:szCs w:val="24"/>
        </w:rPr>
        <w:t xml:space="preserve">had been tried and adjudicated </w:t>
      </w:r>
      <w:r w:rsidR="00C26B35" w:rsidRPr="00CE7C0C">
        <w:rPr>
          <w:rFonts w:ascii="Times New Roman" w:hAnsi="Times New Roman" w:cs="Times New Roman"/>
          <w:i/>
          <w:sz w:val="24"/>
          <w:szCs w:val="24"/>
        </w:rPr>
        <w:t>years before</w:t>
      </w:r>
      <w:r w:rsidR="00C26B35">
        <w:rPr>
          <w:rFonts w:ascii="Times New Roman" w:hAnsi="Times New Roman" w:cs="Times New Roman"/>
          <w:sz w:val="24"/>
          <w:szCs w:val="24"/>
        </w:rPr>
        <w:t xml:space="preserve"> her case</w:t>
      </w:r>
      <w:r w:rsidR="00CE7C0C">
        <w:rPr>
          <w:rFonts w:ascii="Times New Roman" w:hAnsi="Times New Roman" w:cs="Times New Roman"/>
          <w:sz w:val="24"/>
          <w:szCs w:val="24"/>
        </w:rPr>
        <w:t xml:space="preserve"> – with no connection </w:t>
      </w:r>
      <w:r w:rsidR="00CE7C0C">
        <w:rPr>
          <w:rFonts w:ascii="Times New Roman" w:hAnsi="Times New Roman" w:cs="Times New Roman"/>
          <w:sz w:val="24"/>
          <w:szCs w:val="24"/>
        </w:rPr>
        <w:t>other than having the same “star witness”</w:t>
      </w:r>
      <w:r w:rsidR="00CE7C0C">
        <w:rPr>
          <w:rFonts w:ascii="Times New Roman" w:hAnsi="Times New Roman" w:cs="Times New Roman"/>
          <w:sz w:val="24"/>
          <w:szCs w:val="24"/>
        </w:rPr>
        <w:t xml:space="preserve"> testifying.</w:t>
      </w:r>
      <w:r w:rsidR="00C26B35">
        <w:rPr>
          <w:rFonts w:ascii="Times New Roman" w:hAnsi="Times New Roman" w:cs="Times New Roman"/>
          <w:sz w:val="24"/>
          <w:szCs w:val="24"/>
        </w:rPr>
        <w:t xml:space="preserve"> </w:t>
      </w:r>
      <w:r w:rsidR="00AB6C07" w:rsidRPr="00AB6C07">
        <w:rPr>
          <w:rFonts w:ascii="Times New Roman" w:hAnsi="Times New Roman" w:cs="Times New Roman"/>
          <w:sz w:val="24"/>
          <w:szCs w:val="24"/>
        </w:rPr>
        <w:t>That finding is not a finding of historical fact entitled to deference, but a conclusion unsupported by the record, and it cannot insulate the State’s suppression from federal review at this gatekeeping stage.</w:t>
      </w:r>
    </w:p>
    <w:p w14:paraId="27526C13" w14:textId="76EA778E" w:rsidR="00AB6C07" w:rsidRPr="00AB6C07" w:rsidRDefault="00AB6C07" w:rsidP="00AB6C07">
      <w:pPr>
        <w:pStyle w:val="PlainText"/>
        <w:spacing w:line="360" w:lineRule="auto"/>
        <w:rPr>
          <w:rFonts w:ascii="Times New Roman" w:hAnsi="Times New Roman" w:cs="Times New Roman"/>
          <w:sz w:val="24"/>
          <w:szCs w:val="24"/>
        </w:rPr>
      </w:pPr>
    </w:p>
    <w:p w14:paraId="27526C13" w14:textId="76EA778E" w:rsidR="00AB6C07" w:rsidRPr="00AB6C07" w:rsidRDefault="0072618C" w:rsidP="00CE7C0C">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The State’s argument regarding the prosecutor’s letter is even more audacious. It claims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“does not explain why this factual predicate was only recently able to be discovered.” (D.E. 8-1, </w:t>
      </w:r>
      <w:r w:rsidR="001D0B01">
        <w:rPr>
          <w:rFonts w:ascii="Times New Roman" w:hAnsi="Times New Roman" w:cs="Times New Roman"/>
          <w:sz w:val="24"/>
          <w:szCs w:val="24"/>
        </w:rPr>
        <w:t>Page</w:t>
      </w:r>
      <w:r w:rsidR="00AB6C07" w:rsidRPr="00AB6C07">
        <w:rPr>
          <w:rFonts w:ascii="Times New Roman" w:hAnsi="Times New Roman" w:cs="Times New Roman"/>
          <w:sz w:val="24"/>
          <w:szCs w:val="24"/>
        </w:rPr>
        <w:t xml:space="preserve"> 11). The explanation is self-evident: the letter was in the prosecutor’s private trial file and was never disclosed. It is the quintessential example of evidence that is impossible to discover through diligence. There was no public record to search, no witness to interview who would have known of its existence. The State’s argument improperly places the burden on the </w:t>
      </w:r>
      <w:r w:rsidR="00AB6C07" w:rsidRPr="00AB6C07">
        <w:rPr>
          <w:rFonts w:ascii="Times New Roman" w:hAnsi="Times New Roman" w:cs="Times New Roman"/>
          <w:sz w:val="24"/>
          <w:szCs w:val="24"/>
        </w:rPr>
        <w:lastRenderedPageBreak/>
        <w:t xml:space="preserve">petitioner to discover evidence that the State has a constitutional duty to disclose. Where the State suppresses evidence, the petitioner has, as a matter of law, acted with due diligence. See </w:t>
      </w:r>
      <w:r w:rsidR="00AB6C07" w:rsidRPr="00C92AD5">
        <w:rPr>
          <w:rFonts w:ascii="Times New Roman" w:hAnsi="Times New Roman" w:cs="Times New Roman"/>
          <w:i/>
          <w:sz w:val="24"/>
          <w:szCs w:val="24"/>
        </w:rPr>
        <w:t>Strickler v. Greene</w:t>
      </w:r>
      <w:r w:rsidR="00AB6C07" w:rsidRPr="00AB6C07">
        <w:rPr>
          <w:rFonts w:ascii="Times New Roman" w:hAnsi="Times New Roman" w:cs="Times New Roman"/>
          <w:sz w:val="24"/>
          <w:szCs w:val="24"/>
        </w:rPr>
        <w:t>, 527 U.S. 263, 288-89 (1999).</w:t>
      </w:r>
    </w:p>
    <w:p w14:paraId="27526C13" w14:textId="76EA778E" w:rsidR="00AB6C07" w:rsidRPr="00AC7ADA" w:rsidRDefault="00AB6C07" w:rsidP="0072618C">
      <w:pPr>
        <w:pStyle w:val="PlainText"/>
        <w:numPr>
          <w:ilvl w:val="0"/>
          <w:numId w:val="11"/>
        </w:numPr>
        <w:spacing w:line="360" w:lineRule="auto"/>
        <w:jc w:val="both"/>
        <w:rPr>
          <w:rFonts w:ascii="Times New Roman" w:hAnsi="Times New Roman" w:cs="Times New Roman"/>
          <w:b/>
          <w:sz w:val="24"/>
          <w:szCs w:val="24"/>
        </w:rPr>
      </w:pPr>
      <w:r w:rsidRPr="00AC7ADA">
        <w:rPr>
          <w:rFonts w:ascii="Times New Roman" w:hAnsi="Times New Roman" w:cs="Times New Roman"/>
          <w:b/>
          <w:sz w:val="24"/>
          <w:szCs w:val="24"/>
        </w:rPr>
        <w:t>The Factual Predicate for the Claim Involving Fred Talley’s Perjury Did Not Exist Until 2024.</w:t>
      </w:r>
    </w:p>
    <w:p w14:paraId="27526C13" w14:textId="76EA778E" w:rsidR="00AB6C07" w:rsidRPr="008A3D53" w:rsidRDefault="00AB6C07" w:rsidP="00AC7ADA">
      <w:pPr>
        <w:pStyle w:val="PlainText"/>
        <w:spacing w:line="360" w:lineRule="auto"/>
        <w:jc w:val="both"/>
        <w:rPr>
          <w:rFonts w:ascii="Times New Roman" w:hAnsi="Times New Roman" w:cs="Times New Roman"/>
          <w:sz w:val="16"/>
          <w:szCs w:val="16"/>
        </w:rPr>
      </w:pPr>
    </w:p>
    <w:p w14:paraId="27526C13" w14:textId="76EA778E" w:rsidR="00AB6C07" w:rsidRPr="00AB6C07" w:rsidRDefault="0072618C" w:rsidP="0078147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The State’s argument concerning Fred Talley’s recantation fundamentally misidentifies the relevant “factual predicate.” The State contends that because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knew Fred Talley’s testimony was false at the time of trial, he failed to act with diligence. (D.E. 8-1, </w:t>
      </w:r>
      <w:r w:rsidR="001D0B01">
        <w:rPr>
          <w:rFonts w:ascii="Times New Roman" w:hAnsi="Times New Roman" w:cs="Times New Roman"/>
          <w:sz w:val="24"/>
          <w:szCs w:val="24"/>
        </w:rPr>
        <w:t>Page</w:t>
      </w:r>
      <w:r w:rsidR="00AB6C07" w:rsidRPr="00AB6C07">
        <w:rPr>
          <w:rFonts w:ascii="Times New Roman" w:hAnsi="Times New Roman" w:cs="Times New Roman"/>
          <w:sz w:val="24"/>
          <w:szCs w:val="24"/>
        </w:rPr>
        <w:t xml:space="preserve"> 11). But a defendant’s knowledge that a witness is lying is not the factual predicate for a claim of newly discovered evidence. The factual predicate is the </w:t>
      </w:r>
      <w:r w:rsidR="00AB6C07" w:rsidRPr="006E76C9">
        <w:rPr>
          <w:rFonts w:ascii="Times New Roman" w:hAnsi="Times New Roman" w:cs="Times New Roman"/>
          <w:i/>
          <w:sz w:val="24"/>
          <w:szCs w:val="24"/>
        </w:rPr>
        <w:t>new evidence itself</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in this case, Fred Talley’s sworn recantation and his willingness to testify to his own perjury.</w:t>
      </w:r>
    </w:p>
    <w:p w14:paraId="27526C13" w14:textId="76EA778E" w:rsidR="00AB6C07" w:rsidRPr="00AB6C07" w:rsidRDefault="0072618C"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That factual predicate did not exist until March 13, 2024, when Mr. Talley signed his affidavit. A petitioner cannot be expected to “discover” a witness’s change of heart before it occurs. The law does not require an incarcerated, pro se litigant to continuously harass a hostile witness for two decades in the speculative hope that he might one day confess to a crime. Once this new factual predicate came into existence,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through counsel, acted promptly to bring it before the courts. He has therefore satisfied the diligence requirement of § 2244(b)(2)(B)(i) with respect to this claim.</w:t>
      </w:r>
    </w:p>
    <w:p w14:paraId="27526C13" w14:textId="76EA778E" w:rsidR="00AB6C07" w:rsidRPr="008A3D53" w:rsidRDefault="00AB6C07" w:rsidP="00AC7ADA">
      <w:pPr>
        <w:pStyle w:val="PlainText"/>
        <w:spacing w:line="360" w:lineRule="auto"/>
        <w:jc w:val="both"/>
        <w:rPr>
          <w:rFonts w:ascii="Times New Roman" w:hAnsi="Times New Roman" w:cs="Times New Roman"/>
          <w:sz w:val="16"/>
          <w:szCs w:val="16"/>
        </w:rPr>
      </w:pPr>
    </w:p>
    <w:p w14:paraId="27526C13" w14:textId="76EA778E" w:rsidR="00AB6C07" w:rsidRPr="00AC7ADA" w:rsidRDefault="00AB6C07" w:rsidP="008A3D53">
      <w:pPr>
        <w:pStyle w:val="PlainText"/>
        <w:jc w:val="center"/>
        <w:rPr>
          <w:rFonts w:ascii="Times New Roman" w:hAnsi="Times New Roman" w:cs="Times New Roman"/>
          <w:b/>
          <w:sz w:val="24"/>
          <w:szCs w:val="24"/>
        </w:rPr>
      </w:pPr>
      <w:r w:rsidRPr="00AC7ADA">
        <w:rPr>
          <w:rFonts w:ascii="Times New Roman" w:hAnsi="Times New Roman" w:cs="Times New Roman"/>
          <w:b/>
          <w:sz w:val="24"/>
          <w:szCs w:val="24"/>
        </w:rPr>
        <w:t>VII. CONCLUSION</w:t>
      </w:r>
    </w:p>
    <w:p w14:paraId="27526C13" w14:textId="76EA778E" w:rsidR="00AB6C07" w:rsidRPr="008A3D53" w:rsidRDefault="00AB6C07" w:rsidP="00AB6C07">
      <w:pPr>
        <w:pStyle w:val="PlainText"/>
        <w:spacing w:line="360" w:lineRule="auto"/>
        <w:rPr>
          <w:rFonts w:ascii="Times New Roman" w:hAnsi="Times New Roman" w:cs="Times New Roman"/>
          <w:sz w:val="16"/>
          <w:szCs w:val="16"/>
        </w:rPr>
      </w:pPr>
    </w:p>
    <w:p w14:paraId="27526C13" w14:textId="76EA778E" w:rsidR="00AB6C07" w:rsidRPr="00AB6C07" w:rsidRDefault="0072618C" w:rsidP="0078147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r>
      <w:r w:rsidR="00AB6C07" w:rsidRPr="00AB6C07">
        <w:rPr>
          <w:rFonts w:ascii="Times New Roman" w:hAnsi="Times New Roman" w:cs="Times New Roman"/>
          <w:sz w:val="24"/>
          <w:szCs w:val="24"/>
        </w:rPr>
        <w:t xml:space="preserve">For over two decades, </w:t>
      </w:r>
      <w:r w:rsidR="00CE7C0C">
        <w:rPr>
          <w:rFonts w:ascii="Times New Roman" w:hAnsi="Times New Roman" w:cs="Times New Roman"/>
          <w:sz w:val="24"/>
          <w:szCs w:val="24"/>
        </w:rPr>
        <w:t xml:space="preserve">Movant </w:t>
      </w:r>
      <w:r w:rsidR="00AB6C07" w:rsidRPr="00AB6C07">
        <w:rPr>
          <w:rFonts w:ascii="Times New Roman" w:hAnsi="Times New Roman" w:cs="Times New Roman"/>
          <w:sz w:val="24"/>
          <w:szCs w:val="24"/>
        </w:rPr>
        <w:t xml:space="preserve">Kenneth </w:t>
      </w:r>
      <w:r w:rsidR="00CE7C0C">
        <w:rPr>
          <w:rFonts w:ascii="Times New Roman" w:hAnsi="Times New Roman" w:cs="Times New Roman"/>
          <w:sz w:val="24"/>
          <w:szCs w:val="24"/>
        </w:rPr>
        <w:t xml:space="preserve">Deangelo </w:t>
      </w:r>
      <w:r w:rsidR="00AB6C07" w:rsidRPr="00AB6C07">
        <w:rPr>
          <w:rFonts w:ascii="Times New Roman" w:hAnsi="Times New Roman" w:cs="Times New Roman"/>
          <w:sz w:val="24"/>
          <w:szCs w:val="24"/>
        </w:rPr>
        <w:t xml:space="preserve">Thomas has maintained his innocence from a prison cell, his claims dismissed and his path to relief blocked by the very evidence the State of Tennessee unconstitutionally withheld. The State’s opposition to his present application asks this Court to perpetuate that injustice by endorsing a flawed state-court analysis and ignoring the overwhelming, synergistic force of the newly discovered evidence. But this Court’s gatekeeping role under § 2244(b) is a critical safeguard against such miscarriages of justice.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has made a powerful prima facie showing that he is the victim of just such a miscarriage, and he is entitled to have his claims fully and fairly heard.</w:t>
      </w:r>
    </w:p>
    <w:p w14:paraId="27526C13" w14:textId="76EA778E" w:rsidR="00AB6C07" w:rsidRPr="00AB6C07" w:rsidRDefault="0072618C" w:rsidP="00781475">
      <w:pPr>
        <w:pStyle w:val="PlainText"/>
        <w:spacing w:after="24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AB6C07" w:rsidRPr="00AB6C07">
        <w:rPr>
          <w:rFonts w:ascii="Times New Roman" w:hAnsi="Times New Roman" w:cs="Times New Roman"/>
          <w:sz w:val="24"/>
          <w:szCs w:val="24"/>
        </w:rPr>
        <w:t xml:space="preserve">The State’s case against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has been exposed as a house of cards, built on the perjured testimony of incentivized witnesses and held together by the State’s own suppression of the truth. The discovery of Paul Talley’s 1999 police interview, the prosecutor’s 2003 letter, and Fred Talley’s 2024 recantation has caused that structure to collapse entirely. No reasonable juror, presented with the evidence as it now stands, could find </w:t>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guilty beyond a reasonable doubt. The State’s arguments to the contrary</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that this evidence was somehow discoverable through due diligence or that it is irrelevant to a felony-murder conviction</w:t>
      </w:r>
      <w:r w:rsidR="00712ADC">
        <w:rPr>
          <w:rFonts w:ascii="Times New Roman" w:hAnsi="Times New Roman" w:cs="Times New Roman"/>
          <w:sz w:val="24"/>
          <w:szCs w:val="24"/>
        </w:rPr>
        <w:t xml:space="preserve"> – </w:t>
      </w:r>
      <w:r w:rsidR="00AB6C07" w:rsidRPr="00AB6C07">
        <w:rPr>
          <w:rFonts w:ascii="Times New Roman" w:hAnsi="Times New Roman" w:cs="Times New Roman"/>
          <w:sz w:val="24"/>
          <w:szCs w:val="24"/>
        </w:rPr>
        <w:t>are meritless attempts to evade accountability for profound constitutional violations.</w:t>
      </w:r>
    </w:p>
    <w:p w14:paraId="27526C13" w14:textId="76EA778E" w:rsidR="00AB6C07" w:rsidRPr="00AB6C07" w:rsidRDefault="0072618C" w:rsidP="00AC7ADA">
      <w:pPr>
        <w:pStyle w:val="PlainText"/>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D0B01">
        <w:rPr>
          <w:rFonts w:ascii="Times New Roman" w:hAnsi="Times New Roman" w:cs="Times New Roman"/>
          <w:sz w:val="24"/>
          <w:szCs w:val="24"/>
        </w:rPr>
        <w:t>Movant</w:t>
      </w:r>
      <w:r w:rsidR="00AB6C07" w:rsidRPr="00AB6C07">
        <w:rPr>
          <w:rFonts w:ascii="Times New Roman" w:hAnsi="Times New Roman" w:cs="Times New Roman"/>
          <w:sz w:val="24"/>
          <w:szCs w:val="24"/>
        </w:rPr>
        <w:t xml:space="preserve"> has satisfied both prongs of 28 U.S.C. § 2244(b)(2)(B). He has presented new, reliable evidence of his actual innocence that was previously undiscoverable because the State suppressed it. This evidence establishes, by clear and convincing evidence, that but for the State’s violations of </w:t>
      </w:r>
      <w:r w:rsidR="001D0B01" w:rsidRPr="00C92AD5">
        <w:rPr>
          <w:rFonts w:ascii="Times New Roman" w:hAnsi="Times New Roman" w:cs="Times New Roman"/>
          <w:i/>
          <w:sz w:val="24"/>
          <w:szCs w:val="24"/>
        </w:rPr>
        <w:t>Brady</w:t>
      </w:r>
      <w:r w:rsidR="00AB6C07" w:rsidRPr="00AB6C07">
        <w:rPr>
          <w:rFonts w:ascii="Times New Roman" w:hAnsi="Times New Roman" w:cs="Times New Roman"/>
          <w:sz w:val="24"/>
          <w:szCs w:val="24"/>
        </w:rPr>
        <w:t xml:space="preserve"> and </w:t>
      </w:r>
      <w:r w:rsidR="001D0B01" w:rsidRPr="00C92AD5">
        <w:rPr>
          <w:rFonts w:ascii="Times New Roman" w:hAnsi="Times New Roman" w:cs="Times New Roman"/>
          <w:i/>
          <w:sz w:val="24"/>
          <w:szCs w:val="24"/>
        </w:rPr>
        <w:t>Giglio</w:t>
      </w:r>
      <w:r w:rsidR="00AB6C07" w:rsidRPr="00AB6C07">
        <w:rPr>
          <w:rFonts w:ascii="Times New Roman" w:hAnsi="Times New Roman" w:cs="Times New Roman"/>
          <w:sz w:val="24"/>
          <w:szCs w:val="24"/>
        </w:rPr>
        <w:t>, no reasonable factfinder would have convicted him. He has made the requisite showing that his claims warrant a “fuller exploration in the district court.” To deny him that opportunity would be to render the protections of the Great Writ meaningless and to condemn an innocent man to die in prison.</w:t>
      </w:r>
    </w:p>
    <w:p w14:paraId="27526C13" w14:textId="76EA778E" w:rsidR="00AB6C07" w:rsidRPr="00AB6C07" w:rsidRDefault="00AB6C07" w:rsidP="00AB6C07">
      <w:pPr>
        <w:pStyle w:val="PlainText"/>
        <w:spacing w:line="360" w:lineRule="auto"/>
        <w:rPr>
          <w:rFonts w:ascii="Times New Roman" w:hAnsi="Times New Roman" w:cs="Times New Roman"/>
          <w:sz w:val="24"/>
          <w:szCs w:val="24"/>
        </w:rPr>
      </w:pPr>
    </w:p>
    <w:p w14:paraId="27526C13" w14:textId="76EA778E" w:rsidR="00AB6C07" w:rsidRPr="00AC7ADA" w:rsidRDefault="00AB6C07" w:rsidP="008A3D53">
      <w:pPr>
        <w:pStyle w:val="PlainText"/>
        <w:jc w:val="center"/>
        <w:rPr>
          <w:rFonts w:ascii="Times New Roman" w:hAnsi="Times New Roman" w:cs="Times New Roman"/>
          <w:b/>
          <w:sz w:val="24"/>
          <w:szCs w:val="24"/>
        </w:rPr>
      </w:pPr>
      <w:r w:rsidRPr="00AC7ADA">
        <w:rPr>
          <w:rFonts w:ascii="Times New Roman" w:hAnsi="Times New Roman" w:cs="Times New Roman"/>
          <w:b/>
          <w:sz w:val="24"/>
          <w:szCs w:val="24"/>
        </w:rPr>
        <w:t>PRAYER FOR RELIEF</w:t>
      </w:r>
    </w:p>
    <w:p w14:paraId="27526C13" w14:textId="76EA778E" w:rsidR="00AB6C07" w:rsidRPr="008A3D53" w:rsidRDefault="00AB6C07" w:rsidP="00AB6C07">
      <w:pPr>
        <w:pStyle w:val="PlainText"/>
        <w:spacing w:line="360" w:lineRule="auto"/>
        <w:rPr>
          <w:rFonts w:ascii="Times New Roman" w:hAnsi="Times New Roman" w:cs="Times New Roman"/>
          <w:sz w:val="16"/>
          <w:szCs w:val="16"/>
        </w:rPr>
      </w:pPr>
    </w:p>
    <w:p w14:paraId="27526C13" w14:textId="76EA778E" w:rsidR="00AB6C07" w:rsidRDefault="00AB6C07" w:rsidP="00781475">
      <w:pPr>
        <w:pStyle w:val="PlainText"/>
        <w:spacing w:after="240" w:line="360" w:lineRule="auto"/>
        <w:jc w:val="both"/>
        <w:rPr>
          <w:rFonts w:ascii="Times New Roman" w:hAnsi="Times New Roman" w:cs="Times New Roman"/>
          <w:sz w:val="24"/>
          <w:szCs w:val="24"/>
        </w:rPr>
      </w:pPr>
      <w:r w:rsidRPr="008A3D53">
        <w:rPr>
          <w:rFonts w:ascii="Times New Roman" w:hAnsi="Times New Roman" w:cs="Times New Roman"/>
          <w:b/>
          <w:sz w:val="24"/>
          <w:szCs w:val="24"/>
        </w:rPr>
        <w:t>WHEREFORE</w:t>
      </w:r>
      <w:r w:rsidRPr="00AB6C07">
        <w:rPr>
          <w:rFonts w:ascii="Times New Roman" w:hAnsi="Times New Roman" w:cs="Times New Roman"/>
          <w:sz w:val="24"/>
          <w:szCs w:val="24"/>
        </w:rPr>
        <w:t xml:space="preserve">, Petitioner Kenneth </w:t>
      </w:r>
      <w:r w:rsidR="00CE7C0C">
        <w:rPr>
          <w:rFonts w:ascii="Times New Roman" w:hAnsi="Times New Roman" w:cs="Times New Roman"/>
          <w:sz w:val="24"/>
          <w:szCs w:val="24"/>
        </w:rPr>
        <w:t xml:space="preserve">Deangelo </w:t>
      </w:r>
      <w:r w:rsidRPr="00AB6C07">
        <w:rPr>
          <w:rFonts w:ascii="Times New Roman" w:hAnsi="Times New Roman" w:cs="Times New Roman"/>
          <w:sz w:val="24"/>
          <w:szCs w:val="24"/>
        </w:rPr>
        <w:t>Thomas respectfully requests that this Honorable Court grant his Application for Leave to File a Second or Successive Petition for a Writ of Habeas Corpus pursuant to 28 U.S.C. § 2244(b) and authorize the United States District Court for the Middle District of Tennessee to consider his petition on the merits.</w:t>
      </w:r>
    </w:p>
    <w:p w14:paraId="1BF974B4" w14:textId="7D695126" w:rsidR="00CE7C0C" w:rsidRPr="00AB6C07" w:rsidRDefault="00CE7C0C" w:rsidP="00CE7C0C">
      <w:pPr>
        <w:pStyle w:val="PlainText"/>
        <w:jc w:val="both"/>
        <w:rPr>
          <w:rFonts w:ascii="Times New Roman" w:hAnsi="Times New Roman" w:cs="Times New Roman"/>
          <w:sz w:val="24"/>
          <w:szCs w:val="24"/>
        </w:rPr>
      </w:pPr>
    </w:p>
    <w:p w14:paraId="1BF974B4" w14:textId="7D695126" w:rsidR="0030214D" w:rsidRDefault="0030214D" w:rsidP="00781475">
      <w:pPr>
        <w:spacing w:after="240" w:line="48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134E1A">
        <w:rPr>
          <w:sz w:val="24"/>
          <w:szCs w:val="24"/>
        </w:rPr>
        <w:tab/>
      </w:r>
      <w:r>
        <w:rPr>
          <w:sz w:val="24"/>
          <w:szCs w:val="24"/>
        </w:rPr>
        <w:t>Respectfully submitted,</w:t>
      </w:r>
    </w:p>
    <w:p w:rsidR="00CE7C0C" w:rsidRDefault="00CE7C0C" w:rsidP="00CE7C0C">
      <w:pPr>
        <w:jc w:val="both"/>
        <w:rPr>
          <w:sz w:val="24"/>
          <w:szCs w:val="24"/>
        </w:rPr>
      </w:pPr>
    </w:p>
    <w:p w:rsidR="0030214D" w:rsidRDefault="0030214D" w:rsidP="0030214D">
      <w:pPr>
        <w:spacing w:line="276"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134E1A">
        <w:rPr>
          <w:sz w:val="24"/>
          <w:szCs w:val="24"/>
        </w:rPr>
        <w:tab/>
      </w:r>
      <w:r>
        <w:rPr>
          <w:sz w:val="24"/>
          <w:szCs w:val="24"/>
        </w:rPr>
        <w:t>Kenneth D. Thomas,</w:t>
      </w:r>
    </w:p>
    <w:p w:rsidR="0030214D" w:rsidRDefault="0030214D" w:rsidP="0030214D">
      <w:pPr>
        <w:spacing w:line="276"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134E1A">
        <w:rPr>
          <w:sz w:val="24"/>
          <w:szCs w:val="24"/>
        </w:rPr>
        <w:tab/>
      </w:r>
      <w:r>
        <w:rPr>
          <w:sz w:val="24"/>
          <w:szCs w:val="24"/>
        </w:rPr>
        <w:t>Movant, pro se # 262443</w:t>
      </w:r>
    </w:p>
    <w:p w:rsidR="0030214D" w:rsidRDefault="0030214D" w:rsidP="0030214D">
      <w:pPr>
        <w:spacing w:line="276"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134E1A">
        <w:rPr>
          <w:sz w:val="24"/>
          <w:szCs w:val="24"/>
        </w:rPr>
        <w:tab/>
      </w:r>
      <w:r>
        <w:rPr>
          <w:sz w:val="24"/>
          <w:szCs w:val="24"/>
        </w:rPr>
        <w:t>Riverbend Max. Sec. Inst.</w:t>
      </w:r>
    </w:p>
    <w:p w:rsidR="0030214D" w:rsidRDefault="0030214D" w:rsidP="0030214D">
      <w:pPr>
        <w:spacing w:line="276"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134E1A">
        <w:rPr>
          <w:sz w:val="24"/>
          <w:szCs w:val="24"/>
        </w:rPr>
        <w:tab/>
      </w:r>
      <w:r>
        <w:rPr>
          <w:sz w:val="24"/>
          <w:szCs w:val="24"/>
        </w:rPr>
        <w:t>7475 Cockrill Bend Blvd.</w:t>
      </w:r>
    </w:p>
    <w:p w:rsidR="0030214D" w:rsidRDefault="0030214D" w:rsidP="00CE7C0C">
      <w:pPr>
        <w:spacing w:after="240" w:line="48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134E1A">
        <w:rPr>
          <w:sz w:val="24"/>
          <w:szCs w:val="24"/>
        </w:rPr>
        <w:tab/>
      </w:r>
      <w:bookmarkStart w:id="2" w:name="_GoBack"/>
      <w:bookmarkEnd w:id="2"/>
      <w:r>
        <w:rPr>
          <w:sz w:val="24"/>
          <w:szCs w:val="24"/>
        </w:rPr>
        <w:t>Nashville, TN 37209</w:t>
      </w:r>
    </w:p>
    <w:p w:rsidR="003D22FB" w:rsidRDefault="003D22FB" w:rsidP="003D22FB">
      <w:pPr>
        <w:pStyle w:val="ListParagraph"/>
        <w:spacing w:line="276" w:lineRule="auto"/>
        <w:ind w:left="0"/>
        <w:jc w:val="center"/>
        <w:rPr>
          <w:b/>
          <w:sz w:val="24"/>
          <w:szCs w:val="24"/>
        </w:rPr>
      </w:pPr>
      <w:r>
        <w:rPr>
          <w:b/>
          <w:sz w:val="24"/>
          <w:szCs w:val="24"/>
        </w:rPr>
        <w:lastRenderedPageBreak/>
        <w:t>CERTIFICATE OF SERVICE</w:t>
      </w:r>
    </w:p>
    <w:p w:rsidR="003D22FB" w:rsidRPr="00A663E6" w:rsidRDefault="003D22FB" w:rsidP="003D22FB">
      <w:pPr>
        <w:pStyle w:val="ListParagraph"/>
        <w:spacing w:line="276" w:lineRule="auto"/>
        <w:ind w:left="0"/>
        <w:jc w:val="center"/>
        <w:rPr>
          <w:b/>
          <w:sz w:val="16"/>
          <w:szCs w:val="16"/>
        </w:rPr>
      </w:pPr>
    </w:p>
    <w:p w:rsidR="003D22FB" w:rsidRPr="003D22FB" w:rsidRDefault="003D22FB" w:rsidP="003D22FB">
      <w:pPr>
        <w:pStyle w:val="ListParagraph"/>
        <w:spacing w:line="360" w:lineRule="auto"/>
        <w:ind w:left="0"/>
        <w:jc w:val="both"/>
        <w:rPr>
          <w:b/>
          <w:sz w:val="24"/>
          <w:szCs w:val="24"/>
        </w:rPr>
      </w:pPr>
      <w:r>
        <w:rPr>
          <w:sz w:val="24"/>
          <w:szCs w:val="24"/>
        </w:rPr>
        <w:tab/>
        <w:t xml:space="preserve">I , the undersigned, certify that on the </w:t>
      </w:r>
      <w:r w:rsidR="00C42D6E">
        <w:rPr>
          <w:sz w:val="24"/>
          <w:szCs w:val="24"/>
        </w:rPr>
        <w:t>10</w:t>
      </w:r>
      <w:r>
        <w:rPr>
          <w:sz w:val="24"/>
          <w:szCs w:val="24"/>
          <w:vertAlign w:val="superscript"/>
        </w:rPr>
        <w:t>th</w:t>
      </w:r>
      <w:r>
        <w:rPr>
          <w:sz w:val="24"/>
          <w:szCs w:val="24"/>
        </w:rPr>
        <w:t xml:space="preserve"> day of October 2025, a true and exact copy of the forgoing</w:t>
      </w:r>
      <w:r w:rsidR="002F0DC1" w:rsidRPr="002F0DC1">
        <w:rPr>
          <w:sz w:val="24"/>
          <w:szCs w:val="24"/>
        </w:rPr>
        <w:t xml:space="preserve"> </w:t>
      </w:r>
      <w:r w:rsidR="002F0DC1">
        <w:rPr>
          <w:sz w:val="24"/>
          <w:szCs w:val="24"/>
        </w:rPr>
        <w:t>Direct Response To The State’s Misrepresentations And Distortions Of Fact In State’s Motion In Opposition To Request Authorization To File Second Or Successive Habeas Petition</w:t>
      </w:r>
      <w:r w:rsidR="002F0DC1" w:rsidRPr="002B2808">
        <w:t xml:space="preserve"> </w:t>
      </w:r>
      <w:r>
        <w:rPr>
          <w:sz w:val="24"/>
          <w:szCs w:val="24"/>
        </w:rPr>
        <w:t>has been mailed, postage prepaid,</w:t>
      </w:r>
      <w:r w:rsidR="00C42D6E">
        <w:rPr>
          <w:sz w:val="24"/>
          <w:szCs w:val="24"/>
        </w:rPr>
        <w:t xml:space="preserve"> along with a contemporaneously filed</w:t>
      </w:r>
      <w:r w:rsidR="002F0DC1" w:rsidRPr="002F0DC1">
        <w:rPr>
          <w:sz w:val="24"/>
          <w:szCs w:val="24"/>
        </w:rPr>
        <w:t xml:space="preserve"> </w:t>
      </w:r>
      <w:r w:rsidR="002F0DC1" w:rsidRPr="003D22FB">
        <w:rPr>
          <w:sz w:val="24"/>
          <w:szCs w:val="24"/>
        </w:rPr>
        <w:t xml:space="preserve">Movant’s Reply In Support Of Application For Leave To File Successive Petition For </w:t>
      </w:r>
      <w:r w:rsidR="002F0DC1">
        <w:rPr>
          <w:sz w:val="24"/>
          <w:szCs w:val="24"/>
        </w:rPr>
        <w:t xml:space="preserve">A </w:t>
      </w:r>
      <w:r w:rsidR="002F0DC1" w:rsidRPr="003D22FB">
        <w:rPr>
          <w:sz w:val="24"/>
          <w:szCs w:val="24"/>
        </w:rPr>
        <w:t xml:space="preserve">Writ </w:t>
      </w:r>
      <w:r w:rsidR="002F0DC1">
        <w:rPr>
          <w:sz w:val="24"/>
          <w:szCs w:val="24"/>
        </w:rPr>
        <w:t xml:space="preserve">Of </w:t>
      </w:r>
      <w:r w:rsidR="002F0DC1" w:rsidRPr="003D22FB">
        <w:rPr>
          <w:sz w:val="24"/>
          <w:szCs w:val="24"/>
        </w:rPr>
        <w:t>Habeas Corpus</w:t>
      </w:r>
      <w:r w:rsidR="002F0DC1">
        <w:rPr>
          <w:sz w:val="24"/>
          <w:szCs w:val="24"/>
        </w:rPr>
        <w:t xml:space="preserve">, </w:t>
      </w:r>
      <w:r>
        <w:rPr>
          <w:sz w:val="24"/>
          <w:szCs w:val="24"/>
        </w:rPr>
        <w:t xml:space="preserve">to </w:t>
      </w:r>
      <w:r w:rsidR="00C42D6E">
        <w:rPr>
          <w:sz w:val="24"/>
          <w:szCs w:val="24"/>
        </w:rPr>
        <w:t xml:space="preserve"> </w:t>
      </w:r>
      <w:bookmarkStart w:id="3" w:name="_Hlk210981447"/>
      <w:r w:rsidR="00C42D6E">
        <w:rPr>
          <w:sz w:val="24"/>
          <w:szCs w:val="24"/>
        </w:rPr>
        <w:t>Assistant Attorney General William True</w:t>
      </w:r>
      <w:r>
        <w:rPr>
          <w:sz w:val="24"/>
          <w:szCs w:val="24"/>
        </w:rPr>
        <w:t>, Office of the Attorney General, P.O. Box 20207, Nashville, Tennessee 37202.</w:t>
      </w:r>
    </w:p>
    <w:bookmarkEnd w:id="3"/>
    <w:p w:rsidR="003D22FB" w:rsidRDefault="003D22FB" w:rsidP="003D22FB">
      <w:pPr>
        <w:pStyle w:val="ListParagraph"/>
        <w:spacing w:line="276" w:lineRule="auto"/>
        <w:ind w:left="0"/>
        <w:jc w:val="both"/>
        <w:rPr>
          <w:sz w:val="24"/>
          <w:szCs w:val="24"/>
        </w:rPr>
      </w:pPr>
    </w:p>
    <w:p w:rsidR="003D22FB" w:rsidRDefault="003D22FB" w:rsidP="003D22FB">
      <w:pPr>
        <w:pStyle w:val="ListParagraph"/>
        <w:spacing w:after="240" w:line="480" w:lineRule="auto"/>
        <w:ind w:left="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w:t>
      </w:r>
    </w:p>
    <w:p w:rsidR="00C42D6E" w:rsidRPr="0030214D" w:rsidRDefault="003D22FB" w:rsidP="00781475">
      <w:pPr>
        <w:pStyle w:val="ListParagraph"/>
        <w:spacing w:line="276" w:lineRule="auto"/>
        <w:ind w:left="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Kenneth Deangelo Thomas</w:t>
      </w:r>
      <w:r w:rsidR="002F0DC1">
        <w:rPr>
          <w:sz w:val="24"/>
          <w:szCs w:val="24"/>
        </w:rPr>
        <w:t xml:space="preserve"> </w:t>
      </w:r>
    </w:p>
    <w:sectPr w:rsidR="00C42D6E" w:rsidRPr="0030214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C1894" w14:textId="77777777" w:rsidR="00BB7628" w:rsidRDefault="00BB7628" w:rsidP="00403EE9">
      <w:r>
        <w:separator/>
      </w:r>
    </w:p>
  </w:endnote>
  <w:endnote w:type="continuationSeparator" w:id="0">
    <w:p w14:paraId="7C28D498" w14:textId="77777777" w:rsidR="00BB7628" w:rsidRDefault="00BB7628" w:rsidP="00403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590874"/>
      <w:docPartObj>
        <w:docPartGallery w:val="Page Numbers (Bottom of Page)"/>
        <w:docPartUnique/>
      </w:docPartObj>
    </w:sdtPr>
    <w:sdtEndPr/>
    <w:sdtContent>
      <w:sdt>
        <w:sdtPr>
          <w:id w:val="1728636285"/>
          <w:docPartObj>
            <w:docPartGallery w:val="Page Numbers (Top of Page)"/>
            <w:docPartUnique/>
          </w:docPartObj>
        </w:sdtPr>
        <w:sdtEndPr/>
        <w:sdtContent>
          <w:p w14:paraId="619D9863" w14:textId="77777777" w:rsidR="00B44633" w:rsidRDefault="00B4463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sidR="00781475" w:rsidRPr="00781475">
              <w:rPr>
                <w:b/>
                <w:bCs/>
              </w:rPr>
              <w:t>1</w:t>
            </w:r>
            <w:r w:rsidR="00F028EE">
              <w:rPr>
                <w:b/>
                <w:bCs/>
              </w:rPr>
              <w:t>6</w:t>
            </w:r>
          </w:p>
        </w:sdtContent>
      </w:sdt>
    </w:sdtContent>
  </w:sdt>
  <w:p w14:paraId="75EBE64D" w14:textId="77777777" w:rsidR="00B44633" w:rsidRDefault="00B44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5DA41" w14:textId="77777777" w:rsidR="00BB7628" w:rsidRDefault="00BB7628" w:rsidP="00403EE9">
      <w:r>
        <w:separator/>
      </w:r>
    </w:p>
  </w:footnote>
  <w:footnote w:type="continuationSeparator" w:id="0">
    <w:p w14:paraId="4DAE58E3" w14:textId="77777777" w:rsidR="00BB7628" w:rsidRDefault="00BB7628" w:rsidP="00403EE9">
      <w:r>
        <w:continuationSeparator/>
      </w:r>
    </w:p>
  </w:footnote>
  <w:footnote w:id="1">
    <w:p w14:paraId="13A5FB12" w14:textId="77777777" w:rsidR="002934DC" w:rsidRDefault="002934DC">
      <w:pPr>
        <w:pStyle w:val="FootnoteText"/>
      </w:pPr>
      <w:r>
        <w:rPr>
          <w:rStyle w:val="FootnoteReference"/>
        </w:rPr>
        <w:footnoteRef/>
      </w:r>
      <w:r>
        <w:t xml:space="preserve"> Defense Exhibit – a part of the record presented to the Tennessee courts.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7B4D"/>
    <w:multiLevelType w:val="hybridMultilevel"/>
    <w:tmpl w:val="7FE02CB6"/>
    <w:lvl w:ilvl="0" w:tplc="A97A389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77DE"/>
    <w:multiLevelType w:val="hybridMultilevel"/>
    <w:tmpl w:val="A59E19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A279A8"/>
    <w:multiLevelType w:val="hybridMultilevel"/>
    <w:tmpl w:val="C7665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33758"/>
    <w:multiLevelType w:val="hybridMultilevel"/>
    <w:tmpl w:val="176E49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0A6915"/>
    <w:multiLevelType w:val="hybridMultilevel"/>
    <w:tmpl w:val="C36826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FE6716"/>
    <w:multiLevelType w:val="hybridMultilevel"/>
    <w:tmpl w:val="42D43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E2864"/>
    <w:multiLevelType w:val="hybridMultilevel"/>
    <w:tmpl w:val="802C9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7F7002"/>
    <w:multiLevelType w:val="hybridMultilevel"/>
    <w:tmpl w:val="9D323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1E61A5"/>
    <w:multiLevelType w:val="hybridMultilevel"/>
    <w:tmpl w:val="02F2675E"/>
    <w:lvl w:ilvl="0" w:tplc="5F34AC0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506F92"/>
    <w:multiLevelType w:val="hybridMultilevel"/>
    <w:tmpl w:val="60FAF1EA"/>
    <w:lvl w:ilvl="0" w:tplc="F9F2475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AF11D3"/>
    <w:multiLevelType w:val="hybridMultilevel"/>
    <w:tmpl w:val="EC1C7D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6"/>
  </w:num>
  <w:num w:numId="5">
    <w:abstractNumId w:val="9"/>
  </w:num>
  <w:num w:numId="6">
    <w:abstractNumId w:val="1"/>
  </w:num>
  <w:num w:numId="7">
    <w:abstractNumId w:val="5"/>
  </w:num>
  <w:num w:numId="8">
    <w:abstractNumId w:val="3"/>
  </w:num>
  <w:num w:numId="9">
    <w:abstractNumId w:val="7"/>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D92"/>
    <w:rsid w:val="00134E1A"/>
    <w:rsid w:val="001501DD"/>
    <w:rsid w:val="001B3220"/>
    <w:rsid w:val="001D0B01"/>
    <w:rsid w:val="001F4A29"/>
    <w:rsid w:val="00233093"/>
    <w:rsid w:val="002406A0"/>
    <w:rsid w:val="002934DC"/>
    <w:rsid w:val="002E1B09"/>
    <w:rsid w:val="002F0DC1"/>
    <w:rsid w:val="0030214D"/>
    <w:rsid w:val="00372941"/>
    <w:rsid w:val="003D22FB"/>
    <w:rsid w:val="00403EE9"/>
    <w:rsid w:val="004066C0"/>
    <w:rsid w:val="00423D52"/>
    <w:rsid w:val="00445710"/>
    <w:rsid w:val="004736BA"/>
    <w:rsid w:val="004A56BE"/>
    <w:rsid w:val="004C2A6B"/>
    <w:rsid w:val="005E224C"/>
    <w:rsid w:val="00623DD6"/>
    <w:rsid w:val="006E76C9"/>
    <w:rsid w:val="00712ADC"/>
    <w:rsid w:val="0072618C"/>
    <w:rsid w:val="00781475"/>
    <w:rsid w:val="007B0E8D"/>
    <w:rsid w:val="008449AA"/>
    <w:rsid w:val="008A3D53"/>
    <w:rsid w:val="009223E4"/>
    <w:rsid w:val="0097249D"/>
    <w:rsid w:val="00996BF2"/>
    <w:rsid w:val="009A4A2D"/>
    <w:rsid w:val="009F6D92"/>
    <w:rsid w:val="00A4125A"/>
    <w:rsid w:val="00AB6C07"/>
    <w:rsid w:val="00AC7ADA"/>
    <w:rsid w:val="00B44633"/>
    <w:rsid w:val="00BB7628"/>
    <w:rsid w:val="00BE7777"/>
    <w:rsid w:val="00BF746D"/>
    <w:rsid w:val="00C26456"/>
    <w:rsid w:val="00C26B35"/>
    <w:rsid w:val="00C42D6E"/>
    <w:rsid w:val="00C92AD5"/>
    <w:rsid w:val="00CE7C0C"/>
    <w:rsid w:val="00CF7FF4"/>
    <w:rsid w:val="00D21834"/>
    <w:rsid w:val="00D3289C"/>
    <w:rsid w:val="00D75829"/>
    <w:rsid w:val="00DA1979"/>
    <w:rsid w:val="00DA2B4C"/>
    <w:rsid w:val="00DD3F32"/>
    <w:rsid w:val="00E11595"/>
    <w:rsid w:val="00E959C3"/>
    <w:rsid w:val="00EF26C5"/>
    <w:rsid w:val="00F028EE"/>
    <w:rsid w:val="00F57057"/>
    <w:rsid w:val="00FC72F8"/>
    <w:rsid w:val="00FF1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79794"/>
  <w15:chartTrackingRefBased/>
  <w15:docId w15:val="{F21F9653-086F-41B0-A85C-B96C01697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5710"/>
  </w:style>
  <w:style w:type="paragraph" w:styleId="Heading1">
    <w:name w:val="heading 1"/>
    <w:basedOn w:val="Normal"/>
    <w:next w:val="Normal"/>
    <w:link w:val="Heading1Char"/>
    <w:qFormat/>
    <w:rsid w:val="00DA1979"/>
    <w:pPr>
      <w:keepNext/>
      <w:jc w:val="center"/>
      <w:outlineLvl w:val="0"/>
    </w:pPr>
    <w:rPr>
      <w:b/>
      <w:bCs/>
      <w:sz w:val="26"/>
      <w:u w:val="single"/>
    </w:rPr>
  </w:style>
  <w:style w:type="paragraph" w:styleId="Heading2">
    <w:name w:val="heading 2"/>
    <w:basedOn w:val="Normal"/>
    <w:next w:val="Normal"/>
    <w:link w:val="Heading2Char"/>
    <w:qFormat/>
    <w:rsid w:val="00DA1979"/>
    <w:pPr>
      <w:keepNext/>
      <w:ind w:left="3600"/>
      <w:outlineLvl w:val="1"/>
    </w:pPr>
    <w:rPr>
      <w:sz w:val="24"/>
    </w:rPr>
  </w:style>
  <w:style w:type="paragraph" w:styleId="Heading3">
    <w:name w:val="heading 3"/>
    <w:basedOn w:val="Normal"/>
    <w:next w:val="Normal"/>
    <w:link w:val="Heading3Char"/>
    <w:qFormat/>
    <w:rsid w:val="00DA1979"/>
    <w:pPr>
      <w:keepNext/>
      <w:ind w:firstLine="720"/>
      <w:outlineLvl w:val="2"/>
    </w:pPr>
    <w:rPr>
      <w:rFonts w:ascii="Times" w:hAnsi="Times"/>
      <w:sz w:val="24"/>
    </w:rPr>
  </w:style>
  <w:style w:type="paragraph" w:styleId="Heading4">
    <w:name w:val="heading 4"/>
    <w:basedOn w:val="Normal"/>
    <w:next w:val="Normal"/>
    <w:link w:val="Heading4Char"/>
    <w:qFormat/>
    <w:rsid w:val="00DA1979"/>
    <w:pPr>
      <w:keepNext/>
      <w:outlineLvl w:val="3"/>
    </w:pPr>
    <w:rPr>
      <w:rFonts w:ascii="Times" w:hAnsi="Times"/>
      <w:sz w:val="24"/>
    </w:rPr>
  </w:style>
  <w:style w:type="paragraph" w:styleId="Heading5">
    <w:name w:val="heading 5"/>
    <w:basedOn w:val="Normal"/>
    <w:next w:val="Normal"/>
    <w:link w:val="Heading5Char"/>
    <w:qFormat/>
    <w:rsid w:val="00DA1979"/>
    <w:pPr>
      <w:keepNext/>
      <w:jc w:val="both"/>
      <w:outlineLvl w:val="4"/>
    </w:pPr>
    <w:rPr>
      <w:rFonts w:ascii="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1979"/>
    <w:rPr>
      <w:b/>
      <w:bCs/>
      <w:sz w:val="26"/>
      <w:u w:val="single"/>
    </w:rPr>
  </w:style>
  <w:style w:type="character" w:customStyle="1" w:styleId="Heading2Char">
    <w:name w:val="Heading 2 Char"/>
    <w:basedOn w:val="DefaultParagraphFont"/>
    <w:link w:val="Heading2"/>
    <w:rsid w:val="00DA1979"/>
    <w:rPr>
      <w:sz w:val="24"/>
    </w:rPr>
  </w:style>
  <w:style w:type="character" w:customStyle="1" w:styleId="Heading3Char">
    <w:name w:val="Heading 3 Char"/>
    <w:basedOn w:val="DefaultParagraphFont"/>
    <w:link w:val="Heading3"/>
    <w:rsid w:val="00DA1979"/>
    <w:rPr>
      <w:rFonts w:ascii="Times" w:hAnsi="Times"/>
      <w:sz w:val="24"/>
    </w:rPr>
  </w:style>
  <w:style w:type="character" w:customStyle="1" w:styleId="Heading4Char">
    <w:name w:val="Heading 4 Char"/>
    <w:basedOn w:val="DefaultParagraphFont"/>
    <w:link w:val="Heading4"/>
    <w:rsid w:val="00DA1979"/>
    <w:rPr>
      <w:rFonts w:ascii="Times" w:hAnsi="Times"/>
      <w:sz w:val="24"/>
    </w:rPr>
  </w:style>
  <w:style w:type="character" w:customStyle="1" w:styleId="Heading5Char">
    <w:name w:val="Heading 5 Char"/>
    <w:basedOn w:val="DefaultParagraphFont"/>
    <w:link w:val="Heading5"/>
    <w:rsid w:val="00DA1979"/>
    <w:rPr>
      <w:rFonts w:ascii="Times" w:hAnsi="Times"/>
      <w:sz w:val="24"/>
    </w:rPr>
  </w:style>
  <w:style w:type="paragraph" w:styleId="Title">
    <w:name w:val="Title"/>
    <w:basedOn w:val="Normal"/>
    <w:link w:val="TitleChar"/>
    <w:qFormat/>
    <w:rsid w:val="00DA1979"/>
    <w:pPr>
      <w:jc w:val="center"/>
    </w:pPr>
    <w:rPr>
      <w:sz w:val="26"/>
    </w:rPr>
  </w:style>
  <w:style w:type="character" w:customStyle="1" w:styleId="TitleChar">
    <w:name w:val="Title Char"/>
    <w:basedOn w:val="DefaultParagraphFont"/>
    <w:link w:val="Title"/>
    <w:rsid w:val="00DA1979"/>
    <w:rPr>
      <w:sz w:val="26"/>
    </w:rPr>
  </w:style>
  <w:style w:type="paragraph" w:styleId="Subtitle">
    <w:name w:val="Subtitle"/>
    <w:basedOn w:val="Normal"/>
    <w:link w:val="SubtitleChar"/>
    <w:qFormat/>
    <w:rsid w:val="00DA1979"/>
    <w:pPr>
      <w:jc w:val="center"/>
    </w:pPr>
    <w:rPr>
      <w:rFonts w:ascii="Times" w:hAnsi="Times"/>
      <w:sz w:val="24"/>
    </w:rPr>
  </w:style>
  <w:style w:type="character" w:customStyle="1" w:styleId="SubtitleChar">
    <w:name w:val="Subtitle Char"/>
    <w:basedOn w:val="DefaultParagraphFont"/>
    <w:link w:val="Subtitle"/>
    <w:rsid w:val="00DA1979"/>
    <w:rPr>
      <w:rFonts w:ascii="Times" w:hAnsi="Times"/>
      <w:sz w:val="24"/>
    </w:rPr>
  </w:style>
  <w:style w:type="paragraph" w:styleId="ListParagraph">
    <w:name w:val="List Paragraph"/>
    <w:basedOn w:val="Normal"/>
    <w:uiPriority w:val="34"/>
    <w:qFormat/>
    <w:rsid w:val="002E1B09"/>
    <w:pPr>
      <w:ind w:left="720"/>
      <w:contextualSpacing/>
    </w:pPr>
  </w:style>
  <w:style w:type="paragraph" w:styleId="Header">
    <w:name w:val="header"/>
    <w:basedOn w:val="Normal"/>
    <w:link w:val="HeaderChar"/>
    <w:uiPriority w:val="99"/>
    <w:unhideWhenUsed/>
    <w:rsid w:val="00403EE9"/>
    <w:pPr>
      <w:tabs>
        <w:tab w:val="center" w:pos="4680"/>
        <w:tab w:val="right" w:pos="9360"/>
      </w:tabs>
    </w:pPr>
  </w:style>
  <w:style w:type="character" w:customStyle="1" w:styleId="HeaderChar">
    <w:name w:val="Header Char"/>
    <w:basedOn w:val="DefaultParagraphFont"/>
    <w:link w:val="Header"/>
    <w:uiPriority w:val="99"/>
    <w:rsid w:val="00403EE9"/>
  </w:style>
  <w:style w:type="paragraph" w:styleId="Footer">
    <w:name w:val="footer"/>
    <w:basedOn w:val="Normal"/>
    <w:link w:val="FooterChar"/>
    <w:uiPriority w:val="99"/>
    <w:unhideWhenUsed/>
    <w:rsid w:val="00403EE9"/>
    <w:pPr>
      <w:tabs>
        <w:tab w:val="center" w:pos="4680"/>
        <w:tab w:val="right" w:pos="9360"/>
      </w:tabs>
    </w:pPr>
  </w:style>
  <w:style w:type="character" w:customStyle="1" w:styleId="FooterChar">
    <w:name w:val="Footer Char"/>
    <w:basedOn w:val="DefaultParagraphFont"/>
    <w:link w:val="Footer"/>
    <w:uiPriority w:val="99"/>
    <w:rsid w:val="00403EE9"/>
  </w:style>
  <w:style w:type="paragraph" w:styleId="EnvelopeAddress">
    <w:name w:val="envelope address"/>
    <w:basedOn w:val="Normal"/>
    <w:uiPriority w:val="99"/>
    <w:unhideWhenUsed/>
    <w:rsid w:val="004736B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4736BA"/>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1B3220"/>
  </w:style>
  <w:style w:type="character" w:customStyle="1" w:styleId="FootnoteTextChar">
    <w:name w:val="Footnote Text Char"/>
    <w:basedOn w:val="DefaultParagraphFont"/>
    <w:link w:val="FootnoteText"/>
    <w:uiPriority w:val="99"/>
    <w:semiHidden/>
    <w:rsid w:val="001B3220"/>
  </w:style>
  <w:style w:type="character" w:styleId="FootnoteReference">
    <w:name w:val="footnote reference"/>
    <w:basedOn w:val="DefaultParagraphFont"/>
    <w:uiPriority w:val="99"/>
    <w:semiHidden/>
    <w:unhideWhenUsed/>
    <w:rsid w:val="001B3220"/>
    <w:rPr>
      <w:vertAlign w:val="superscript"/>
    </w:rPr>
  </w:style>
  <w:style w:type="paragraph" w:styleId="PlainText">
    <w:name w:val="Plain Text"/>
    <w:basedOn w:val="Normal"/>
    <w:link w:val="PlainTextChar"/>
    <w:uiPriority w:val="99"/>
    <w:unhideWhenUsed/>
    <w:rsid w:val="00AB6C07"/>
    <w:rPr>
      <w:rFonts w:ascii="Consolas" w:eastAsiaTheme="minorEastAsia" w:hAnsi="Consolas" w:cstheme="minorBidi"/>
      <w:kern w:val="2"/>
      <w:sz w:val="21"/>
      <w:szCs w:val="21"/>
      <w14:ligatures w14:val="standardContextual"/>
    </w:rPr>
  </w:style>
  <w:style w:type="character" w:customStyle="1" w:styleId="PlainTextChar">
    <w:name w:val="Plain Text Char"/>
    <w:basedOn w:val="DefaultParagraphFont"/>
    <w:link w:val="PlainText"/>
    <w:uiPriority w:val="99"/>
    <w:rsid w:val="00AB6C07"/>
    <w:rPr>
      <w:rFonts w:ascii="Consolas" w:eastAsiaTheme="minorEastAsia" w:hAnsi="Consolas" w:cstheme="minorBidi"/>
      <w:kern w:val="2"/>
      <w:sz w:val="21"/>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C43A3-6CF0-4E9B-A1CE-7C3714E06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5255</Words>
  <Characters>29959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Inmate</dc:creator>
  <cp:keywords/>
  <dc:description/>
  <cp:lastModifiedBy>Inmate</cp:lastModifiedBy>
  <cp:revision>2</cp:revision>
  <dcterms:created xsi:type="dcterms:W3CDTF">2025-10-11T18:22:00Z</dcterms:created>
  <dcterms:modified xsi:type="dcterms:W3CDTF">2025-10-11T18:22:00Z</dcterms:modified>
</cp:coreProperties>
</file>