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B4C" w:rsidRDefault="00DA2B4C" w:rsidP="001C6EC7">
      <w:pPr>
        <w:jc w:val="center"/>
        <w:rPr>
          <w:rFonts w:ascii="Arial Black" w:hAnsi="Arial Black"/>
          <w:sz w:val="72"/>
          <w:szCs w:val="72"/>
        </w:rPr>
      </w:pPr>
    </w:p>
    <w:p w:rsidR="001C6EC7" w:rsidRDefault="001C6EC7" w:rsidP="001C6EC7">
      <w:pPr>
        <w:jc w:val="center"/>
        <w:rPr>
          <w:rFonts w:ascii="Arial Black" w:hAnsi="Arial Black"/>
          <w:sz w:val="72"/>
          <w:szCs w:val="72"/>
        </w:rPr>
      </w:pPr>
    </w:p>
    <w:p w:rsidR="001C6EC7" w:rsidRDefault="001C6EC7" w:rsidP="001C6EC7">
      <w:pPr>
        <w:jc w:val="center"/>
        <w:rPr>
          <w:rFonts w:ascii="Arial Black" w:hAnsi="Arial Black"/>
          <w:sz w:val="72"/>
          <w:szCs w:val="72"/>
        </w:rPr>
      </w:pPr>
    </w:p>
    <w:p w:rsidR="001C6EC7" w:rsidRDefault="001C6EC7" w:rsidP="001C6EC7">
      <w:pPr>
        <w:jc w:val="center"/>
        <w:rPr>
          <w:rFonts w:ascii="Arial Black" w:hAnsi="Arial Black"/>
          <w:sz w:val="144"/>
          <w:szCs w:val="144"/>
        </w:rPr>
      </w:pPr>
      <w:r w:rsidRPr="007C5EA1">
        <w:rPr>
          <w:rFonts w:ascii="Arial Black" w:hAnsi="Arial Black"/>
          <w:sz w:val="144"/>
          <w:szCs w:val="144"/>
        </w:rPr>
        <w:t>Appendix A</w:t>
      </w:r>
    </w:p>
    <w:p w:rsidR="007C5EA1" w:rsidRPr="007C5EA1" w:rsidRDefault="007C5EA1" w:rsidP="001C6EC7">
      <w:pPr>
        <w:jc w:val="center"/>
        <w:rPr>
          <w:rFonts w:ascii="Arial Black" w:hAnsi="Arial Black"/>
          <w:sz w:val="144"/>
          <w:szCs w:val="144"/>
        </w:rPr>
      </w:pPr>
    </w:p>
    <w:p w:rsidR="007C5EA1" w:rsidRPr="007C5EA1" w:rsidRDefault="007C5EA1" w:rsidP="001C6EC7">
      <w:pPr>
        <w:jc w:val="center"/>
        <w:rPr>
          <w:rFonts w:ascii="Arial Black" w:hAnsi="Arial Black"/>
          <w:sz w:val="48"/>
          <w:szCs w:val="48"/>
        </w:rPr>
      </w:pPr>
      <w:r w:rsidRPr="007C5EA1">
        <w:rPr>
          <w:rFonts w:ascii="Arial Black" w:hAnsi="Arial Black"/>
          <w:i/>
          <w:sz w:val="48"/>
          <w:szCs w:val="48"/>
        </w:rPr>
        <w:t>State v. Thomas</w:t>
      </w:r>
      <w:r w:rsidRPr="007C5EA1">
        <w:rPr>
          <w:rFonts w:ascii="Arial Black" w:hAnsi="Arial Black"/>
          <w:sz w:val="48"/>
          <w:szCs w:val="48"/>
        </w:rPr>
        <w:t>, 2006 WL 521426 (Tenn. Crim. App.)</w:t>
      </w:r>
    </w:p>
    <w:p w:rsidR="001C6EC7" w:rsidRPr="007C5EA1" w:rsidRDefault="001C6EC7">
      <w:pPr>
        <w:rPr>
          <w:rFonts w:ascii="Arial Black" w:hAnsi="Arial Black"/>
          <w:sz w:val="48"/>
          <w:szCs w:val="48"/>
        </w:rPr>
      </w:pPr>
      <w:r w:rsidRPr="007C5EA1">
        <w:rPr>
          <w:rFonts w:ascii="Arial Black" w:hAnsi="Arial Black"/>
          <w:sz w:val="48"/>
          <w:szCs w:val="48"/>
        </w:rPr>
        <w:br w:type="page"/>
      </w:r>
    </w:p>
    <w:p w:rsidR="001C6EC7" w:rsidRDefault="001C6EC7" w:rsidP="001C6EC7">
      <w:pPr>
        <w:jc w:val="center"/>
        <w:rPr>
          <w:rFonts w:ascii="Arial Black" w:hAnsi="Arial Black"/>
          <w:sz w:val="72"/>
          <w:szCs w:val="72"/>
        </w:rPr>
      </w:pPr>
    </w:p>
    <w:p w:rsidR="001C6EC7" w:rsidRDefault="001C6EC7" w:rsidP="001C6EC7">
      <w:pPr>
        <w:jc w:val="center"/>
        <w:rPr>
          <w:rFonts w:ascii="Arial Black" w:hAnsi="Arial Black"/>
          <w:sz w:val="72"/>
          <w:szCs w:val="72"/>
        </w:rPr>
      </w:pPr>
    </w:p>
    <w:p w:rsidR="001C6EC7" w:rsidRDefault="001C6EC7" w:rsidP="001C6EC7">
      <w:pPr>
        <w:jc w:val="center"/>
        <w:rPr>
          <w:rFonts w:ascii="Arial Black" w:hAnsi="Arial Black"/>
          <w:sz w:val="72"/>
          <w:szCs w:val="72"/>
        </w:rPr>
      </w:pPr>
    </w:p>
    <w:p w:rsidR="001C6EC7" w:rsidRDefault="001C6EC7" w:rsidP="001C6EC7">
      <w:pPr>
        <w:jc w:val="center"/>
        <w:rPr>
          <w:rFonts w:ascii="Arial Black" w:hAnsi="Arial Black"/>
          <w:sz w:val="144"/>
          <w:szCs w:val="144"/>
        </w:rPr>
      </w:pPr>
      <w:r w:rsidRPr="007C5EA1">
        <w:rPr>
          <w:rFonts w:ascii="Arial Black" w:hAnsi="Arial Black"/>
          <w:sz w:val="144"/>
          <w:szCs w:val="144"/>
        </w:rPr>
        <w:t>Appendix B</w:t>
      </w:r>
    </w:p>
    <w:p w:rsidR="007C5EA1" w:rsidRDefault="007C5EA1" w:rsidP="001C6EC7">
      <w:pPr>
        <w:jc w:val="center"/>
        <w:rPr>
          <w:rFonts w:ascii="Arial Black" w:hAnsi="Arial Black"/>
          <w:sz w:val="144"/>
          <w:szCs w:val="144"/>
        </w:rPr>
      </w:pPr>
    </w:p>
    <w:p w:rsidR="007C5EA1" w:rsidRPr="007C5EA1" w:rsidRDefault="007C5EA1" w:rsidP="001C6EC7">
      <w:pPr>
        <w:jc w:val="center"/>
        <w:rPr>
          <w:rFonts w:ascii="Arial Black" w:hAnsi="Arial Black"/>
          <w:sz w:val="48"/>
          <w:szCs w:val="48"/>
        </w:rPr>
      </w:pPr>
      <w:r w:rsidRPr="007C5EA1">
        <w:rPr>
          <w:rFonts w:ascii="Arial Black" w:hAnsi="Arial Black"/>
          <w:i/>
          <w:sz w:val="48"/>
          <w:szCs w:val="48"/>
        </w:rPr>
        <w:t>Thomas v. Tennessee</w:t>
      </w:r>
      <w:r w:rsidRPr="007C5EA1">
        <w:rPr>
          <w:rFonts w:ascii="Arial Black" w:hAnsi="Arial Black"/>
          <w:sz w:val="48"/>
          <w:szCs w:val="48"/>
        </w:rPr>
        <w:t>, 549 U.S. 1290, 127 S.Ct. 1842 (U.S. 2007)</w:t>
      </w:r>
    </w:p>
    <w:p w:rsidR="007C5EA1" w:rsidRPr="007C5EA1" w:rsidRDefault="007C5EA1" w:rsidP="001C6EC7">
      <w:pPr>
        <w:jc w:val="center"/>
        <w:rPr>
          <w:rFonts w:ascii="Arial Black" w:hAnsi="Arial Black"/>
          <w:sz w:val="144"/>
          <w:szCs w:val="144"/>
        </w:rPr>
      </w:pPr>
    </w:p>
    <w:p w:rsidR="001C6EC7" w:rsidRPr="007C5EA1" w:rsidRDefault="001C6EC7">
      <w:pPr>
        <w:rPr>
          <w:rFonts w:ascii="Arial Black" w:hAnsi="Arial Black"/>
          <w:sz w:val="48"/>
          <w:szCs w:val="48"/>
        </w:rPr>
      </w:pPr>
      <w:r>
        <w:rPr>
          <w:rFonts w:ascii="Arial Black" w:hAnsi="Arial Black"/>
          <w:sz w:val="72"/>
          <w:szCs w:val="72"/>
        </w:rPr>
        <w:br w:type="page"/>
      </w:r>
    </w:p>
    <w:p w:rsidR="001C6EC7" w:rsidRDefault="001C6EC7" w:rsidP="001C6EC7">
      <w:pPr>
        <w:jc w:val="center"/>
        <w:rPr>
          <w:rFonts w:ascii="Arial Black" w:hAnsi="Arial Black"/>
          <w:sz w:val="72"/>
          <w:szCs w:val="72"/>
        </w:rPr>
      </w:pPr>
    </w:p>
    <w:p w:rsidR="001C6EC7" w:rsidRDefault="001C6EC7" w:rsidP="001C6EC7">
      <w:pPr>
        <w:jc w:val="center"/>
        <w:rPr>
          <w:rFonts w:ascii="Arial Black" w:hAnsi="Arial Black"/>
          <w:sz w:val="72"/>
          <w:szCs w:val="72"/>
        </w:rPr>
      </w:pPr>
    </w:p>
    <w:p w:rsidR="001C6EC7" w:rsidRDefault="001C6EC7" w:rsidP="001C6EC7">
      <w:pPr>
        <w:jc w:val="center"/>
        <w:rPr>
          <w:rFonts w:ascii="Arial Black" w:hAnsi="Arial Black"/>
          <w:sz w:val="72"/>
          <w:szCs w:val="72"/>
        </w:rPr>
      </w:pPr>
    </w:p>
    <w:p w:rsidR="001C6EC7" w:rsidRDefault="001C6EC7" w:rsidP="001C6EC7">
      <w:pPr>
        <w:jc w:val="center"/>
        <w:rPr>
          <w:rFonts w:ascii="Arial Black" w:hAnsi="Arial Black"/>
          <w:sz w:val="144"/>
          <w:szCs w:val="144"/>
        </w:rPr>
      </w:pPr>
      <w:r w:rsidRPr="007C5EA1">
        <w:rPr>
          <w:rFonts w:ascii="Arial Black" w:hAnsi="Arial Black"/>
          <w:sz w:val="144"/>
          <w:szCs w:val="144"/>
        </w:rPr>
        <w:t>Appendix C</w:t>
      </w:r>
    </w:p>
    <w:p w:rsidR="007C5EA1" w:rsidRDefault="007C5EA1" w:rsidP="001C6EC7">
      <w:pPr>
        <w:jc w:val="center"/>
        <w:rPr>
          <w:rFonts w:ascii="Arial Black" w:hAnsi="Arial Black"/>
          <w:sz w:val="144"/>
          <w:szCs w:val="144"/>
        </w:rPr>
      </w:pPr>
    </w:p>
    <w:p w:rsidR="007C5EA1" w:rsidRPr="007C5EA1" w:rsidRDefault="007C5EA1" w:rsidP="001C6EC7">
      <w:pPr>
        <w:jc w:val="center"/>
        <w:rPr>
          <w:rFonts w:ascii="Arial Black" w:hAnsi="Arial Black"/>
          <w:sz w:val="48"/>
          <w:szCs w:val="48"/>
        </w:rPr>
      </w:pPr>
      <w:r w:rsidRPr="007C5EA1">
        <w:rPr>
          <w:rFonts w:ascii="Arial Black" w:hAnsi="Arial Black"/>
          <w:i/>
          <w:sz w:val="48"/>
          <w:szCs w:val="48"/>
        </w:rPr>
        <w:t>Thomas v. Fortner</w:t>
      </w:r>
      <w:r w:rsidRPr="007C5EA1">
        <w:rPr>
          <w:rFonts w:ascii="Arial Black" w:hAnsi="Arial Black"/>
          <w:sz w:val="48"/>
          <w:szCs w:val="48"/>
        </w:rPr>
        <w:t>, 2009 WL 649733 (M.D. Tenn.)</w:t>
      </w:r>
    </w:p>
    <w:p w:rsidR="007C5EA1" w:rsidRDefault="007C5EA1" w:rsidP="007C5EA1">
      <w:pPr>
        <w:rPr>
          <w:rFonts w:ascii="Arial Black" w:hAnsi="Arial Black"/>
          <w:sz w:val="144"/>
          <w:szCs w:val="144"/>
        </w:rPr>
      </w:pPr>
    </w:p>
    <w:p w:rsidR="007C5EA1" w:rsidRDefault="007C5EA1" w:rsidP="007C5EA1">
      <w:pPr>
        <w:rPr>
          <w:rFonts w:ascii="Arial Black" w:hAnsi="Arial Black"/>
          <w:sz w:val="144"/>
          <w:szCs w:val="144"/>
        </w:rPr>
      </w:pPr>
    </w:p>
    <w:p w:rsidR="007C5EA1" w:rsidRDefault="007C5EA1" w:rsidP="007C5EA1">
      <w:pPr>
        <w:rPr>
          <w:rFonts w:ascii="Arial Black" w:hAnsi="Arial Black"/>
          <w:sz w:val="144"/>
          <w:szCs w:val="144"/>
        </w:rPr>
      </w:pPr>
    </w:p>
    <w:p w:rsidR="007C5EA1" w:rsidRDefault="007C5EA1" w:rsidP="007C5EA1">
      <w:pPr>
        <w:rPr>
          <w:rFonts w:ascii="Arial Black" w:hAnsi="Arial Black"/>
          <w:sz w:val="48"/>
          <w:szCs w:val="48"/>
        </w:rPr>
      </w:pPr>
    </w:p>
    <w:p w:rsidR="007C5EA1" w:rsidRDefault="007C5EA1" w:rsidP="007C5EA1">
      <w:pPr>
        <w:rPr>
          <w:rFonts w:ascii="Arial Black" w:hAnsi="Arial Black"/>
          <w:sz w:val="16"/>
          <w:szCs w:val="16"/>
        </w:rPr>
      </w:pPr>
    </w:p>
    <w:p w:rsidR="001C6EC7" w:rsidRDefault="001C6EC7" w:rsidP="007C5EA1">
      <w:pPr>
        <w:rPr>
          <w:rFonts w:ascii="Arial Black" w:hAnsi="Arial Black"/>
          <w:sz w:val="144"/>
          <w:szCs w:val="144"/>
        </w:rPr>
      </w:pPr>
      <w:r w:rsidRPr="007C5EA1">
        <w:rPr>
          <w:rFonts w:ascii="Arial Black" w:hAnsi="Arial Black"/>
          <w:sz w:val="144"/>
          <w:szCs w:val="144"/>
        </w:rPr>
        <w:t>Appendix D</w:t>
      </w:r>
    </w:p>
    <w:p w:rsidR="007C5EA1" w:rsidRDefault="007C5EA1" w:rsidP="007C5EA1">
      <w:pPr>
        <w:jc w:val="center"/>
        <w:rPr>
          <w:rFonts w:ascii="Arial Black" w:hAnsi="Arial Black"/>
          <w:sz w:val="144"/>
          <w:szCs w:val="144"/>
        </w:rPr>
      </w:pPr>
    </w:p>
    <w:p w:rsidR="007C5EA1" w:rsidRPr="007C5EA1" w:rsidRDefault="007C5EA1" w:rsidP="007C5EA1">
      <w:pPr>
        <w:jc w:val="center"/>
        <w:rPr>
          <w:rFonts w:ascii="Arial Black" w:hAnsi="Arial Black"/>
          <w:sz w:val="48"/>
          <w:szCs w:val="48"/>
        </w:rPr>
      </w:pPr>
      <w:r w:rsidRPr="007C5EA1">
        <w:rPr>
          <w:rFonts w:ascii="Arial Black" w:hAnsi="Arial Black"/>
          <w:i/>
          <w:sz w:val="48"/>
          <w:szCs w:val="48"/>
        </w:rPr>
        <w:t>Thomas v. State</w:t>
      </w:r>
      <w:r w:rsidRPr="007C5EA1">
        <w:rPr>
          <w:rFonts w:ascii="Arial Black" w:hAnsi="Arial Black"/>
          <w:sz w:val="48"/>
          <w:szCs w:val="48"/>
        </w:rPr>
        <w:t>, 2015 WL 1568235 (Tenn. Crim. App.)</w:t>
      </w:r>
    </w:p>
    <w:p w:rsidR="001C6EC7" w:rsidRDefault="001C6EC7" w:rsidP="001C6EC7">
      <w:pPr>
        <w:jc w:val="center"/>
        <w:rPr>
          <w:rFonts w:ascii="Arial Black" w:hAnsi="Arial Black"/>
          <w:sz w:val="72"/>
          <w:szCs w:val="72"/>
        </w:rPr>
      </w:pPr>
    </w:p>
    <w:p w:rsidR="001C6EC7" w:rsidRDefault="001C6EC7" w:rsidP="001C6EC7">
      <w:pPr>
        <w:jc w:val="center"/>
        <w:rPr>
          <w:rFonts w:ascii="Arial Black" w:hAnsi="Arial Black"/>
          <w:sz w:val="72"/>
          <w:szCs w:val="72"/>
        </w:rPr>
      </w:pPr>
    </w:p>
    <w:p w:rsidR="001C6EC7" w:rsidRDefault="001C6EC7" w:rsidP="001C6EC7">
      <w:pPr>
        <w:jc w:val="center"/>
        <w:rPr>
          <w:rFonts w:ascii="Arial Black" w:hAnsi="Arial Black"/>
          <w:sz w:val="72"/>
          <w:szCs w:val="72"/>
        </w:rPr>
      </w:pPr>
    </w:p>
    <w:p w:rsidR="001C6EC7" w:rsidRDefault="001C6EC7" w:rsidP="001C6EC7">
      <w:pPr>
        <w:jc w:val="center"/>
        <w:rPr>
          <w:rFonts w:ascii="Arial Black" w:hAnsi="Arial Black"/>
          <w:sz w:val="72"/>
          <w:szCs w:val="72"/>
        </w:rPr>
      </w:pPr>
    </w:p>
    <w:p w:rsidR="007C5EA1" w:rsidRDefault="007C5EA1" w:rsidP="001C6EC7">
      <w:pPr>
        <w:jc w:val="center"/>
        <w:rPr>
          <w:rFonts w:ascii="Arial Black" w:hAnsi="Arial Black"/>
          <w:sz w:val="144"/>
          <w:szCs w:val="144"/>
        </w:rPr>
      </w:pPr>
    </w:p>
    <w:p w:rsidR="007C5EA1" w:rsidRDefault="007C5EA1" w:rsidP="001C6EC7">
      <w:pPr>
        <w:jc w:val="center"/>
        <w:rPr>
          <w:rFonts w:ascii="Arial Black" w:hAnsi="Arial Black"/>
          <w:sz w:val="24"/>
          <w:szCs w:val="24"/>
        </w:rPr>
      </w:pPr>
    </w:p>
    <w:p w:rsidR="007C5EA1" w:rsidRDefault="007C5EA1" w:rsidP="001C6EC7">
      <w:pPr>
        <w:jc w:val="center"/>
        <w:rPr>
          <w:rFonts w:ascii="Arial Black" w:hAnsi="Arial Black"/>
          <w:sz w:val="16"/>
          <w:szCs w:val="16"/>
        </w:rPr>
      </w:pPr>
    </w:p>
    <w:p w:rsidR="007C5EA1" w:rsidRDefault="007C5EA1" w:rsidP="001C6EC7">
      <w:pPr>
        <w:jc w:val="center"/>
        <w:rPr>
          <w:rFonts w:ascii="Arial Black" w:hAnsi="Arial Black"/>
          <w:sz w:val="16"/>
          <w:szCs w:val="16"/>
        </w:rPr>
      </w:pPr>
    </w:p>
    <w:p w:rsidR="001C6EC7" w:rsidRDefault="001C6EC7" w:rsidP="001C6EC7">
      <w:pPr>
        <w:jc w:val="center"/>
        <w:rPr>
          <w:rFonts w:ascii="Arial Black" w:hAnsi="Arial Black"/>
          <w:sz w:val="144"/>
          <w:szCs w:val="144"/>
        </w:rPr>
      </w:pPr>
      <w:r w:rsidRPr="007C5EA1">
        <w:rPr>
          <w:rFonts w:ascii="Arial Black" w:hAnsi="Arial Black"/>
          <w:sz w:val="144"/>
          <w:szCs w:val="144"/>
        </w:rPr>
        <w:t>Appendix E</w:t>
      </w:r>
    </w:p>
    <w:p w:rsidR="00AE3095" w:rsidRDefault="00AE3095" w:rsidP="001C6EC7">
      <w:pPr>
        <w:jc w:val="center"/>
        <w:rPr>
          <w:rFonts w:ascii="Arial Black" w:hAnsi="Arial Black"/>
          <w:sz w:val="144"/>
          <w:szCs w:val="144"/>
        </w:rPr>
      </w:pPr>
    </w:p>
    <w:p w:rsidR="00AE3095" w:rsidRPr="00AE3095" w:rsidRDefault="00AE3095" w:rsidP="001C6EC7">
      <w:pPr>
        <w:jc w:val="center"/>
        <w:rPr>
          <w:rFonts w:ascii="Arial Black" w:hAnsi="Arial Black"/>
          <w:sz w:val="48"/>
          <w:szCs w:val="48"/>
        </w:rPr>
      </w:pPr>
      <w:bookmarkStart w:id="0" w:name="_Hlk204069052"/>
      <w:r w:rsidRPr="00AE3095">
        <w:rPr>
          <w:rFonts w:ascii="Arial Black" w:hAnsi="Arial Black"/>
          <w:i/>
          <w:sz w:val="48"/>
          <w:szCs w:val="48"/>
        </w:rPr>
        <w:t>Thomas v. Tennessee</w:t>
      </w:r>
      <w:r w:rsidRPr="00AE3095">
        <w:rPr>
          <w:rFonts w:ascii="Arial Black" w:hAnsi="Arial Black"/>
          <w:sz w:val="48"/>
          <w:szCs w:val="48"/>
        </w:rPr>
        <w:t>, 136 S.Ct. 555 (U.S. 2015)</w:t>
      </w:r>
    </w:p>
    <w:bookmarkEnd w:id="0"/>
    <w:p w:rsidR="001C6EC7" w:rsidRPr="007C5EA1" w:rsidRDefault="001C6EC7">
      <w:pPr>
        <w:rPr>
          <w:rFonts w:ascii="Arial Black" w:hAnsi="Arial Black"/>
          <w:sz w:val="144"/>
          <w:szCs w:val="144"/>
        </w:rPr>
      </w:pPr>
      <w:r w:rsidRPr="007C5EA1">
        <w:rPr>
          <w:rFonts w:ascii="Arial Black" w:hAnsi="Arial Black"/>
          <w:sz w:val="144"/>
          <w:szCs w:val="144"/>
        </w:rPr>
        <w:br w:type="page"/>
      </w:r>
    </w:p>
    <w:p w:rsidR="001C6EC7" w:rsidRPr="007C5EA1" w:rsidRDefault="001C6EC7" w:rsidP="001C6EC7">
      <w:pPr>
        <w:jc w:val="center"/>
        <w:rPr>
          <w:rFonts w:ascii="Arial Black" w:hAnsi="Arial Black"/>
          <w:sz w:val="144"/>
          <w:szCs w:val="144"/>
        </w:rPr>
      </w:pPr>
    </w:p>
    <w:p w:rsidR="00C05C77" w:rsidRDefault="00C05C77" w:rsidP="001C6EC7">
      <w:pPr>
        <w:jc w:val="center"/>
        <w:rPr>
          <w:rFonts w:ascii="Arial Black" w:hAnsi="Arial Black"/>
          <w:sz w:val="40"/>
          <w:szCs w:val="40"/>
        </w:rPr>
      </w:pPr>
    </w:p>
    <w:p w:rsidR="00C05C77" w:rsidRDefault="00C05C77" w:rsidP="001C6EC7">
      <w:pPr>
        <w:jc w:val="center"/>
        <w:rPr>
          <w:rFonts w:ascii="Arial Black" w:hAnsi="Arial Black"/>
          <w:sz w:val="4"/>
          <w:szCs w:val="4"/>
        </w:rPr>
      </w:pPr>
    </w:p>
    <w:p w:rsidR="001C6EC7" w:rsidRDefault="001C6EC7" w:rsidP="001C6EC7">
      <w:pPr>
        <w:jc w:val="center"/>
        <w:rPr>
          <w:rFonts w:ascii="Arial Black" w:hAnsi="Arial Black"/>
          <w:sz w:val="144"/>
          <w:szCs w:val="144"/>
        </w:rPr>
      </w:pPr>
      <w:r w:rsidRPr="007C5EA1">
        <w:rPr>
          <w:rFonts w:ascii="Arial Black" w:hAnsi="Arial Black"/>
          <w:sz w:val="144"/>
          <w:szCs w:val="144"/>
        </w:rPr>
        <w:t>Appendix F</w:t>
      </w:r>
    </w:p>
    <w:p w:rsidR="00C05C77" w:rsidRDefault="00C05C77" w:rsidP="001C6EC7">
      <w:pPr>
        <w:jc w:val="center"/>
        <w:rPr>
          <w:rFonts w:ascii="Arial Black" w:hAnsi="Arial Black"/>
          <w:sz w:val="144"/>
          <w:szCs w:val="144"/>
        </w:rPr>
      </w:pPr>
    </w:p>
    <w:p w:rsidR="00C05C77" w:rsidRPr="00C05C77" w:rsidRDefault="00C05C77" w:rsidP="001C6EC7">
      <w:pPr>
        <w:jc w:val="center"/>
        <w:rPr>
          <w:rFonts w:ascii="Arial Black" w:hAnsi="Arial Black"/>
          <w:sz w:val="48"/>
          <w:szCs w:val="48"/>
        </w:rPr>
      </w:pPr>
      <w:r w:rsidRPr="00C05C77">
        <w:rPr>
          <w:rFonts w:ascii="Arial Black" w:hAnsi="Arial Black"/>
          <w:sz w:val="48"/>
          <w:szCs w:val="48"/>
        </w:rPr>
        <w:t>Affidavit of Attorney Drew Justice</w:t>
      </w:r>
    </w:p>
    <w:p w:rsidR="001C6EC7" w:rsidRPr="007C5EA1" w:rsidRDefault="001C6EC7">
      <w:pPr>
        <w:rPr>
          <w:rFonts w:ascii="Arial Black" w:hAnsi="Arial Black"/>
          <w:sz w:val="144"/>
          <w:szCs w:val="144"/>
        </w:rPr>
      </w:pPr>
      <w:r w:rsidRPr="007C5EA1">
        <w:rPr>
          <w:rFonts w:ascii="Arial Black" w:hAnsi="Arial Black"/>
          <w:sz w:val="144"/>
          <w:szCs w:val="144"/>
        </w:rPr>
        <w:br w:type="page"/>
      </w:r>
    </w:p>
    <w:p w:rsidR="001C6EC7" w:rsidRDefault="001C6EC7" w:rsidP="001C6EC7">
      <w:pPr>
        <w:jc w:val="center"/>
        <w:rPr>
          <w:rFonts w:ascii="Arial Black" w:hAnsi="Arial Black"/>
          <w:sz w:val="72"/>
          <w:szCs w:val="72"/>
        </w:rPr>
      </w:pPr>
    </w:p>
    <w:p w:rsidR="001C6EC7" w:rsidRDefault="001C6EC7" w:rsidP="001C6EC7">
      <w:pPr>
        <w:jc w:val="center"/>
        <w:rPr>
          <w:rFonts w:ascii="Arial Black" w:hAnsi="Arial Black"/>
          <w:sz w:val="72"/>
          <w:szCs w:val="72"/>
        </w:rPr>
      </w:pPr>
    </w:p>
    <w:p w:rsidR="00C05C77" w:rsidRDefault="00C05C77" w:rsidP="001C6EC7">
      <w:pPr>
        <w:jc w:val="center"/>
        <w:rPr>
          <w:rFonts w:ascii="Arial Black" w:hAnsi="Arial Black"/>
          <w:sz w:val="32"/>
          <w:szCs w:val="32"/>
        </w:rPr>
      </w:pPr>
    </w:p>
    <w:p w:rsidR="001C6EC7" w:rsidRDefault="001C6EC7" w:rsidP="001C6EC7">
      <w:pPr>
        <w:jc w:val="center"/>
        <w:rPr>
          <w:rFonts w:ascii="Arial Black" w:hAnsi="Arial Black"/>
          <w:sz w:val="144"/>
          <w:szCs w:val="144"/>
        </w:rPr>
      </w:pPr>
      <w:r w:rsidRPr="00C05C77">
        <w:rPr>
          <w:rFonts w:ascii="Arial Black" w:hAnsi="Arial Black"/>
          <w:sz w:val="144"/>
          <w:szCs w:val="144"/>
        </w:rPr>
        <w:t>Appendix G</w:t>
      </w:r>
    </w:p>
    <w:p w:rsidR="00C05C77" w:rsidRDefault="00C05C77" w:rsidP="001C6EC7">
      <w:pPr>
        <w:jc w:val="center"/>
        <w:rPr>
          <w:rFonts w:ascii="Arial Black" w:hAnsi="Arial Black"/>
          <w:sz w:val="144"/>
          <w:szCs w:val="144"/>
        </w:rPr>
      </w:pPr>
    </w:p>
    <w:p w:rsidR="00C05C77" w:rsidRPr="00C05C77" w:rsidRDefault="00C05C77" w:rsidP="001C6EC7">
      <w:pPr>
        <w:jc w:val="center"/>
        <w:rPr>
          <w:rFonts w:ascii="Arial Black" w:hAnsi="Arial Black"/>
          <w:sz w:val="48"/>
          <w:szCs w:val="48"/>
        </w:rPr>
      </w:pPr>
      <w:r w:rsidRPr="00C05C77">
        <w:rPr>
          <w:rFonts w:ascii="Arial Black" w:hAnsi="Arial Black"/>
          <w:sz w:val="48"/>
          <w:szCs w:val="48"/>
        </w:rPr>
        <w:t>April 19, 2024 Petition for Postconviction Relief</w:t>
      </w:r>
    </w:p>
    <w:p w:rsidR="001C6EC7" w:rsidRDefault="001C6EC7">
      <w:pPr>
        <w:rPr>
          <w:rFonts w:ascii="Arial Black" w:hAnsi="Arial Black"/>
          <w:sz w:val="72"/>
          <w:szCs w:val="72"/>
        </w:rPr>
      </w:pPr>
      <w:r>
        <w:rPr>
          <w:rFonts w:ascii="Arial Black" w:hAnsi="Arial Black"/>
          <w:sz w:val="72"/>
          <w:szCs w:val="72"/>
        </w:rPr>
        <w:br w:type="page"/>
      </w:r>
    </w:p>
    <w:p w:rsidR="001C6EC7" w:rsidRDefault="001C6EC7" w:rsidP="001C6EC7">
      <w:pPr>
        <w:jc w:val="center"/>
        <w:rPr>
          <w:rFonts w:ascii="Arial Black" w:hAnsi="Arial Black"/>
          <w:sz w:val="72"/>
          <w:szCs w:val="72"/>
        </w:rPr>
      </w:pPr>
    </w:p>
    <w:p w:rsidR="001C6EC7" w:rsidRDefault="001C6EC7" w:rsidP="001C6EC7">
      <w:pPr>
        <w:jc w:val="center"/>
        <w:rPr>
          <w:rFonts w:ascii="Arial Black" w:hAnsi="Arial Black"/>
          <w:sz w:val="72"/>
          <w:szCs w:val="72"/>
        </w:rPr>
      </w:pPr>
    </w:p>
    <w:p w:rsidR="00C05C77" w:rsidRDefault="00C05C77" w:rsidP="00C05C77">
      <w:pPr>
        <w:jc w:val="center"/>
        <w:rPr>
          <w:rFonts w:ascii="Arial Black" w:hAnsi="Arial Black"/>
          <w:sz w:val="32"/>
          <w:szCs w:val="32"/>
        </w:rPr>
      </w:pPr>
    </w:p>
    <w:p w:rsidR="00C05C77" w:rsidRDefault="001C6EC7" w:rsidP="00C05C77">
      <w:pPr>
        <w:jc w:val="center"/>
        <w:rPr>
          <w:rFonts w:ascii="Arial Black" w:hAnsi="Arial Black"/>
          <w:sz w:val="144"/>
          <w:szCs w:val="144"/>
        </w:rPr>
      </w:pPr>
      <w:r w:rsidRPr="007C5EA1">
        <w:rPr>
          <w:rFonts w:ascii="Arial Black" w:hAnsi="Arial Black"/>
          <w:sz w:val="144"/>
          <w:szCs w:val="144"/>
        </w:rPr>
        <w:t>Appendix H</w:t>
      </w:r>
    </w:p>
    <w:p w:rsidR="00C05C77" w:rsidRDefault="00C05C77" w:rsidP="00C05C77">
      <w:pPr>
        <w:jc w:val="center"/>
        <w:rPr>
          <w:rFonts w:ascii="Arial Black" w:hAnsi="Arial Black"/>
          <w:sz w:val="144"/>
          <w:szCs w:val="144"/>
        </w:rPr>
      </w:pPr>
    </w:p>
    <w:p w:rsidR="00C05C77" w:rsidRPr="00C05C77" w:rsidRDefault="00C05C77" w:rsidP="00C05C77">
      <w:pPr>
        <w:jc w:val="center"/>
        <w:rPr>
          <w:rFonts w:ascii="Arial Black" w:hAnsi="Arial Black"/>
          <w:sz w:val="48"/>
          <w:szCs w:val="48"/>
        </w:rPr>
      </w:pPr>
      <w:r w:rsidRPr="00C05C77">
        <w:rPr>
          <w:rFonts w:ascii="Arial Black" w:hAnsi="Arial Black"/>
          <w:sz w:val="48"/>
          <w:szCs w:val="48"/>
        </w:rPr>
        <w:t xml:space="preserve">April </w:t>
      </w:r>
      <w:r>
        <w:rPr>
          <w:rFonts w:ascii="Arial Black" w:hAnsi="Arial Black"/>
          <w:sz w:val="48"/>
          <w:szCs w:val="48"/>
        </w:rPr>
        <w:t>20</w:t>
      </w:r>
      <w:r w:rsidRPr="00C05C77">
        <w:rPr>
          <w:rFonts w:ascii="Arial Black" w:hAnsi="Arial Black"/>
          <w:sz w:val="48"/>
          <w:szCs w:val="48"/>
        </w:rPr>
        <w:t xml:space="preserve">, 2024 </w:t>
      </w:r>
      <w:r>
        <w:rPr>
          <w:rFonts w:ascii="Arial Black" w:hAnsi="Arial Black"/>
          <w:sz w:val="48"/>
          <w:szCs w:val="48"/>
        </w:rPr>
        <w:t xml:space="preserve">Second </w:t>
      </w:r>
      <w:r w:rsidRPr="00C05C77">
        <w:rPr>
          <w:rFonts w:ascii="Arial Black" w:hAnsi="Arial Black"/>
          <w:sz w:val="48"/>
          <w:szCs w:val="48"/>
        </w:rPr>
        <w:t xml:space="preserve">Petition for </w:t>
      </w:r>
      <w:r>
        <w:rPr>
          <w:rFonts w:ascii="Arial Black" w:hAnsi="Arial Black"/>
          <w:sz w:val="48"/>
          <w:szCs w:val="48"/>
        </w:rPr>
        <w:t>a Writ of Error Coram Nobis</w:t>
      </w:r>
    </w:p>
    <w:p w:rsidR="001C6EC7" w:rsidRPr="007C5EA1" w:rsidRDefault="001C6EC7">
      <w:pPr>
        <w:rPr>
          <w:rFonts w:ascii="Arial Black" w:hAnsi="Arial Black"/>
          <w:sz w:val="144"/>
          <w:szCs w:val="144"/>
        </w:rPr>
      </w:pPr>
    </w:p>
    <w:p w:rsidR="001C6EC7" w:rsidRPr="007C5EA1" w:rsidRDefault="001C6EC7" w:rsidP="001C6EC7">
      <w:pPr>
        <w:jc w:val="center"/>
        <w:rPr>
          <w:rFonts w:ascii="Arial Black" w:hAnsi="Arial Black"/>
          <w:sz w:val="144"/>
          <w:szCs w:val="144"/>
        </w:rPr>
      </w:pPr>
    </w:p>
    <w:p w:rsidR="001C6EC7" w:rsidRPr="007C5EA1" w:rsidRDefault="001C6EC7" w:rsidP="001C6EC7">
      <w:pPr>
        <w:jc w:val="center"/>
        <w:rPr>
          <w:rFonts w:ascii="Arial Black" w:hAnsi="Arial Black"/>
          <w:sz w:val="144"/>
          <w:szCs w:val="144"/>
        </w:rPr>
      </w:pPr>
    </w:p>
    <w:p w:rsidR="00C05C77" w:rsidRDefault="00C05C77" w:rsidP="001C6EC7">
      <w:pPr>
        <w:jc w:val="center"/>
        <w:rPr>
          <w:rFonts w:ascii="Arial Black" w:hAnsi="Arial Black"/>
          <w:sz w:val="32"/>
          <w:szCs w:val="32"/>
        </w:rPr>
      </w:pPr>
    </w:p>
    <w:p w:rsidR="001C6EC7" w:rsidRDefault="001C6EC7" w:rsidP="001C6EC7">
      <w:pPr>
        <w:jc w:val="center"/>
        <w:rPr>
          <w:rFonts w:ascii="Arial Black" w:hAnsi="Arial Black"/>
          <w:sz w:val="144"/>
          <w:szCs w:val="144"/>
        </w:rPr>
      </w:pPr>
      <w:r w:rsidRPr="007C5EA1">
        <w:rPr>
          <w:rFonts w:ascii="Arial Black" w:hAnsi="Arial Black"/>
          <w:sz w:val="144"/>
          <w:szCs w:val="144"/>
        </w:rPr>
        <w:t>Appendix I</w:t>
      </w:r>
    </w:p>
    <w:p w:rsidR="00C05C77" w:rsidRDefault="00C05C77" w:rsidP="001C6EC7">
      <w:pPr>
        <w:jc w:val="center"/>
        <w:rPr>
          <w:rFonts w:ascii="Arial Black" w:hAnsi="Arial Black"/>
          <w:sz w:val="144"/>
          <w:szCs w:val="144"/>
        </w:rPr>
      </w:pPr>
    </w:p>
    <w:p w:rsidR="00C05C77" w:rsidRPr="00C05C77" w:rsidRDefault="00C05C77" w:rsidP="001C6EC7">
      <w:pPr>
        <w:jc w:val="center"/>
        <w:rPr>
          <w:rFonts w:ascii="Arial Black" w:hAnsi="Arial Black"/>
          <w:sz w:val="48"/>
          <w:szCs w:val="48"/>
        </w:rPr>
      </w:pPr>
      <w:r w:rsidRPr="00C05C77">
        <w:rPr>
          <w:rFonts w:ascii="Arial Black" w:hAnsi="Arial Black"/>
          <w:sz w:val="48"/>
          <w:szCs w:val="48"/>
        </w:rPr>
        <w:t>September 25, 2024 State’s Response Arguing Against Tolling</w:t>
      </w:r>
    </w:p>
    <w:p w:rsidR="001C6EC7" w:rsidRPr="00C05C77" w:rsidRDefault="001C6EC7">
      <w:pPr>
        <w:rPr>
          <w:rFonts w:ascii="Arial Black" w:hAnsi="Arial Black"/>
          <w:sz w:val="48"/>
          <w:szCs w:val="48"/>
        </w:rPr>
      </w:pPr>
      <w:r w:rsidRPr="00C05C77">
        <w:rPr>
          <w:rFonts w:ascii="Arial Black" w:hAnsi="Arial Black"/>
          <w:sz w:val="48"/>
          <w:szCs w:val="48"/>
        </w:rPr>
        <w:br w:type="page"/>
      </w:r>
    </w:p>
    <w:p w:rsidR="001C6EC7" w:rsidRDefault="001C6EC7" w:rsidP="001C6EC7">
      <w:pPr>
        <w:jc w:val="center"/>
        <w:rPr>
          <w:rFonts w:ascii="Arial Black" w:hAnsi="Arial Black"/>
          <w:sz w:val="72"/>
          <w:szCs w:val="72"/>
        </w:rPr>
      </w:pPr>
    </w:p>
    <w:p w:rsidR="001C6EC7" w:rsidRDefault="001C6EC7" w:rsidP="001C6EC7">
      <w:pPr>
        <w:jc w:val="center"/>
        <w:rPr>
          <w:rFonts w:ascii="Arial Black" w:hAnsi="Arial Black"/>
          <w:sz w:val="72"/>
          <w:szCs w:val="72"/>
        </w:rPr>
      </w:pPr>
    </w:p>
    <w:p w:rsidR="00C05C77" w:rsidRDefault="00C05C77" w:rsidP="001C6EC7">
      <w:pPr>
        <w:jc w:val="center"/>
        <w:rPr>
          <w:rFonts w:ascii="Arial Black" w:hAnsi="Arial Black"/>
          <w:sz w:val="32"/>
          <w:szCs w:val="32"/>
        </w:rPr>
      </w:pPr>
    </w:p>
    <w:p w:rsidR="001C6EC7" w:rsidRDefault="001C6EC7" w:rsidP="001C6EC7">
      <w:pPr>
        <w:jc w:val="center"/>
        <w:rPr>
          <w:rFonts w:ascii="Arial Black" w:hAnsi="Arial Black"/>
          <w:sz w:val="144"/>
          <w:szCs w:val="144"/>
        </w:rPr>
      </w:pPr>
      <w:r w:rsidRPr="007C5EA1">
        <w:rPr>
          <w:rFonts w:ascii="Arial Black" w:hAnsi="Arial Black"/>
          <w:sz w:val="144"/>
          <w:szCs w:val="144"/>
        </w:rPr>
        <w:t>Appendix J</w:t>
      </w:r>
    </w:p>
    <w:p w:rsidR="00C05C77" w:rsidRDefault="00C05C77" w:rsidP="001C6EC7">
      <w:pPr>
        <w:jc w:val="center"/>
        <w:rPr>
          <w:rFonts w:ascii="Arial Black" w:hAnsi="Arial Black"/>
          <w:sz w:val="144"/>
          <w:szCs w:val="144"/>
        </w:rPr>
      </w:pPr>
    </w:p>
    <w:p w:rsidR="00C05C77" w:rsidRPr="00C05C77" w:rsidRDefault="00C05C77" w:rsidP="001C6EC7">
      <w:pPr>
        <w:jc w:val="center"/>
        <w:rPr>
          <w:rFonts w:ascii="Arial Black" w:hAnsi="Arial Black"/>
          <w:sz w:val="48"/>
          <w:szCs w:val="48"/>
        </w:rPr>
      </w:pPr>
      <w:r w:rsidRPr="00C05C77">
        <w:rPr>
          <w:rFonts w:ascii="Arial Black" w:hAnsi="Arial Black"/>
          <w:sz w:val="48"/>
          <w:szCs w:val="48"/>
        </w:rPr>
        <w:t>September 27, 2024 Reply Brief to Support Due Process Tolling</w:t>
      </w:r>
    </w:p>
    <w:p w:rsidR="001C6EC7" w:rsidRPr="007C5EA1" w:rsidRDefault="001C6EC7">
      <w:pPr>
        <w:rPr>
          <w:rFonts w:ascii="Arial Black" w:hAnsi="Arial Black"/>
          <w:sz w:val="144"/>
          <w:szCs w:val="144"/>
        </w:rPr>
      </w:pPr>
      <w:r w:rsidRPr="007C5EA1">
        <w:rPr>
          <w:rFonts w:ascii="Arial Black" w:hAnsi="Arial Black"/>
          <w:sz w:val="144"/>
          <w:szCs w:val="144"/>
        </w:rPr>
        <w:br w:type="page"/>
      </w:r>
    </w:p>
    <w:p w:rsidR="001C6EC7" w:rsidRPr="007C5EA1" w:rsidRDefault="001C6EC7" w:rsidP="001C6EC7">
      <w:pPr>
        <w:jc w:val="center"/>
        <w:rPr>
          <w:rFonts w:ascii="Arial Black" w:hAnsi="Arial Black"/>
          <w:sz w:val="144"/>
          <w:szCs w:val="144"/>
        </w:rPr>
      </w:pPr>
    </w:p>
    <w:p w:rsidR="00C05C77" w:rsidRDefault="00C05C77" w:rsidP="001C6EC7">
      <w:pPr>
        <w:jc w:val="center"/>
        <w:rPr>
          <w:rFonts w:ascii="Arial Black" w:hAnsi="Arial Black"/>
          <w:sz w:val="32"/>
          <w:szCs w:val="32"/>
        </w:rPr>
      </w:pPr>
    </w:p>
    <w:p w:rsidR="001C6EC7" w:rsidRDefault="001C6EC7" w:rsidP="001C6EC7">
      <w:pPr>
        <w:jc w:val="center"/>
        <w:rPr>
          <w:rFonts w:ascii="Arial Black" w:hAnsi="Arial Black"/>
          <w:sz w:val="144"/>
          <w:szCs w:val="144"/>
        </w:rPr>
      </w:pPr>
      <w:r w:rsidRPr="007C5EA1">
        <w:rPr>
          <w:rFonts w:ascii="Arial Black" w:hAnsi="Arial Black"/>
          <w:sz w:val="144"/>
          <w:szCs w:val="144"/>
        </w:rPr>
        <w:t>Appendix K</w:t>
      </w:r>
    </w:p>
    <w:p w:rsidR="00C05C77" w:rsidRDefault="00C05C77" w:rsidP="001C6EC7">
      <w:pPr>
        <w:jc w:val="center"/>
        <w:rPr>
          <w:rFonts w:ascii="Arial Black" w:hAnsi="Arial Black"/>
          <w:sz w:val="144"/>
          <w:szCs w:val="144"/>
        </w:rPr>
      </w:pPr>
    </w:p>
    <w:p w:rsidR="00C05C77" w:rsidRPr="00C05C77" w:rsidRDefault="00C05C77" w:rsidP="001C6EC7">
      <w:pPr>
        <w:jc w:val="center"/>
        <w:rPr>
          <w:rFonts w:ascii="Arial Black" w:hAnsi="Arial Black"/>
          <w:sz w:val="48"/>
          <w:szCs w:val="48"/>
        </w:rPr>
      </w:pPr>
      <w:r w:rsidRPr="00C05C77">
        <w:rPr>
          <w:rFonts w:ascii="Arial Black" w:hAnsi="Arial Black"/>
          <w:sz w:val="48"/>
          <w:szCs w:val="48"/>
        </w:rPr>
        <w:t>July 11, 2025 Orders Denying Due Process Tolling</w:t>
      </w:r>
    </w:p>
    <w:p w:rsidR="001C6EC7" w:rsidRPr="007C5EA1" w:rsidRDefault="001C6EC7">
      <w:pPr>
        <w:rPr>
          <w:rFonts w:ascii="Arial Black" w:hAnsi="Arial Black"/>
          <w:sz w:val="144"/>
          <w:szCs w:val="144"/>
        </w:rPr>
      </w:pPr>
      <w:r w:rsidRPr="007C5EA1">
        <w:rPr>
          <w:rFonts w:ascii="Arial Black" w:hAnsi="Arial Black"/>
          <w:sz w:val="144"/>
          <w:szCs w:val="144"/>
        </w:rPr>
        <w:br w:type="page"/>
      </w:r>
    </w:p>
    <w:p w:rsidR="001C6EC7" w:rsidRDefault="001C6EC7" w:rsidP="001C6EC7">
      <w:pPr>
        <w:jc w:val="center"/>
        <w:rPr>
          <w:rFonts w:ascii="Arial Black" w:hAnsi="Arial Black"/>
          <w:sz w:val="72"/>
          <w:szCs w:val="72"/>
        </w:rPr>
      </w:pPr>
    </w:p>
    <w:p w:rsidR="001C6EC7" w:rsidRDefault="001C6EC7" w:rsidP="001C6EC7">
      <w:pPr>
        <w:jc w:val="center"/>
        <w:rPr>
          <w:rFonts w:ascii="Arial Black" w:hAnsi="Arial Black"/>
          <w:sz w:val="72"/>
          <w:szCs w:val="72"/>
        </w:rPr>
      </w:pPr>
    </w:p>
    <w:p w:rsidR="00C05C77" w:rsidRDefault="00C05C77" w:rsidP="001C6EC7">
      <w:pPr>
        <w:jc w:val="center"/>
        <w:rPr>
          <w:rFonts w:ascii="Arial Black" w:hAnsi="Arial Black"/>
          <w:sz w:val="32"/>
          <w:szCs w:val="32"/>
        </w:rPr>
      </w:pPr>
    </w:p>
    <w:p w:rsidR="001C6EC7" w:rsidRDefault="001C6EC7" w:rsidP="001C6EC7">
      <w:pPr>
        <w:jc w:val="center"/>
        <w:rPr>
          <w:rFonts w:ascii="Arial Black" w:hAnsi="Arial Black"/>
          <w:sz w:val="144"/>
          <w:szCs w:val="144"/>
        </w:rPr>
      </w:pPr>
      <w:r w:rsidRPr="007C5EA1">
        <w:rPr>
          <w:rFonts w:ascii="Arial Black" w:hAnsi="Arial Black"/>
          <w:sz w:val="144"/>
          <w:szCs w:val="144"/>
        </w:rPr>
        <w:t>Appendix L</w:t>
      </w:r>
    </w:p>
    <w:p w:rsidR="00C05C77" w:rsidRDefault="00C05C77" w:rsidP="001C6EC7">
      <w:pPr>
        <w:jc w:val="center"/>
        <w:rPr>
          <w:rFonts w:ascii="Arial Black" w:hAnsi="Arial Black"/>
          <w:sz w:val="144"/>
          <w:szCs w:val="144"/>
        </w:rPr>
      </w:pPr>
    </w:p>
    <w:p w:rsidR="00C05C77" w:rsidRPr="00C05C77" w:rsidRDefault="00C05C77" w:rsidP="001C6EC7">
      <w:pPr>
        <w:jc w:val="center"/>
        <w:rPr>
          <w:rFonts w:ascii="Arial Black" w:hAnsi="Arial Black"/>
          <w:sz w:val="48"/>
          <w:szCs w:val="48"/>
        </w:rPr>
      </w:pPr>
      <w:r w:rsidRPr="00C05C77">
        <w:rPr>
          <w:rFonts w:ascii="Arial Black" w:hAnsi="Arial Black"/>
          <w:sz w:val="48"/>
          <w:szCs w:val="48"/>
        </w:rPr>
        <w:t>February 18, 2014 Error Coram Nobis Hearing Transcript</w:t>
      </w:r>
    </w:p>
    <w:p w:rsidR="001C6EC7" w:rsidRPr="00C05C77" w:rsidRDefault="001C6EC7">
      <w:pPr>
        <w:rPr>
          <w:rFonts w:ascii="Arial Black" w:hAnsi="Arial Black"/>
          <w:sz w:val="48"/>
          <w:szCs w:val="48"/>
        </w:rPr>
      </w:pPr>
      <w:r w:rsidRPr="00C05C77">
        <w:rPr>
          <w:rFonts w:ascii="Arial Black" w:hAnsi="Arial Black"/>
          <w:sz w:val="48"/>
          <w:szCs w:val="48"/>
        </w:rPr>
        <w:br w:type="page"/>
      </w:r>
    </w:p>
    <w:p w:rsidR="001C6EC7" w:rsidRPr="007C5EA1" w:rsidRDefault="001C6EC7" w:rsidP="001C6EC7">
      <w:pPr>
        <w:jc w:val="center"/>
        <w:rPr>
          <w:rFonts w:ascii="Arial Black" w:hAnsi="Arial Black"/>
          <w:sz w:val="144"/>
          <w:szCs w:val="144"/>
        </w:rPr>
      </w:pPr>
    </w:p>
    <w:p w:rsidR="00DC74A8" w:rsidRDefault="00DC74A8" w:rsidP="001C6EC7">
      <w:pPr>
        <w:jc w:val="center"/>
        <w:rPr>
          <w:rFonts w:ascii="Arial Black" w:hAnsi="Arial Black"/>
          <w:sz w:val="32"/>
          <w:szCs w:val="32"/>
        </w:rPr>
      </w:pPr>
    </w:p>
    <w:p w:rsidR="001C6EC7" w:rsidRDefault="001C6EC7" w:rsidP="001C6EC7">
      <w:pPr>
        <w:jc w:val="center"/>
        <w:rPr>
          <w:rFonts w:ascii="Arial Black" w:hAnsi="Arial Black"/>
          <w:sz w:val="144"/>
          <w:szCs w:val="144"/>
        </w:rPr>
      </w:pPr>
      <w:r w:rsidRPr="007C5EA1">
        <w:rPr>
          <w:rFonts w:ascii="Arial Black" w:hAnsi="Arial Black"/>
          <w:sz w:val="144"/>
          <w:szCs w:val="144"/>
        </w:rPr>
        <w:t>Appendix M</w:t>
      </w:r>
    </w:p>
    <w:p w:rsidR="00835616" w:rsidRPr="007C5EA1" w:rsidRDefault="00835616" w:rsidP="001C6EC7">
      <w:pPr>
        <w:jc w:val="center"/>
        <w:rPr>
          <w:rFonts w:ascii="Arial Black" w:hAnsi="Arial Black"/>
          <w:sz w:val="144"/>
          <w:szCs w:val="144"/>
        </w:rPr>
      </w:pPr>
    </w:p>
    <w:p w:rsidR="001C6EC7" w:rsidRPr="00835616" w:rsidRDefault="00835616" w:rsidP="00835616">
      <w:pPr>
        <w:jc w:val="center"/>
        <w:rPr>
          <w:rFonts w:ascii="Arial Black" w:hAnsi="Arial Black"/>
          <w:sz w:val="48"/>
          <w:szCs w:val="48"/>
        </w:rPr>
      </w:pPr>
      <w:r w:rsidRPr="00835616">
        <w:rPr>
          <w:rFonts w:ascii="Arial Black" w:hAnsi="Arial Black"/>
          <w:sz w:val="48"/>
          <w:szCs w:val="48"/>
        </w:rPr>
        <w:t>Application for Leave to File Second or Successive Petition to the 6</w:t>
      </w:r>
      <w:r w:rsidRPr="00835616">
        <w:rPr>
          <w:rFonts w:ascii="Arial Black" w:hAnsi="Arial Black"/>
          <w:sz w:val="48"/>
          <w:szCs w:val="48"/>
          <w:vertAlign w:val="superscript"/>
        </w:rPr>
        <w:t>th</w:t>
      </w:r>
      <w:r w:rsidRPr="00835616">
        <w:rPr>
          <w:rFonts w:ascii="Arial Black" w:hAnsi="Arial Black"/>
          <w:sz w:val="48"/>
          <w:szCs w:val="48"/>
        </w:rPr>
        <w:t xml:space="preserve"> Circuit Court of Appeals </w:t>
      </w:r>
      <w:r w:rsidR="001C6EC7" w:rsidRPr="00835616">
        <w:rPr>
          <w:rFonts w:ascii="Arial Black" w:hAnsi="Arial Black"/>
          <w:sz w:val="48"/>
          <w:szCs w:val="48"/>
        </w:rPr>
        <w:br w:type="page"/>
      </w:r>
    </w:p>
    <w:p w:rsidR="001C6EC7" w:rsidRDefault="001C6EC7" w:rsidP="001C6EC7">
      <w:pPr>
        <w:jc w:val="center"/>
        <w:rPr>
          <w:rFonts w:ascii="Arial Black" w:hAnsi="Arial Black"/>
          <w:sz w:val="72"/>
          <w:szCs w:val="72"/>
        </w:rPr>
      </w:pPr>
    </w:p>
    <w:p w:rsidR="001C6EC7" w:rsidRDefault="001C6EC7" w:rsidP="001C6EC7">
      <w:pPr>
        <w:jc w:val="center"/>
        <w:rPr>
          <w:rFonts w:ascii="Arial Black" w:hAnsi="Arial Black"/>
          <w:sz w:val="72"/>
          <w:szCs w:val="72"/>
        </w:rPr>
      </w:pPr>
    </w:p>
    <w:p w:rsidR="00DC74A8" w:rsidRDefault="00DC74A8" w:rsidP="001C6EC7">
      <w:pPr>
        <w:jc w:val="center"/>
        <w:rPr>
          <w:rFonts w:ascii="Arial Black" w:hAnsi="Arial Black"/>
          <w:sz w:val="32"/>
          <w:szCs w:val="32"/>
        </w:rPr>
      </w:pPr>
    </w:p>
    <w:p w:rsidR="004124FC" w:rsidRDefault="004124FC" w:rsidP="004124FC">
      <w:pPr>
        <w:jc w:val="center"/>
        <w:rPr>
          <w:rFonts w:ascii="Arial Black" w:hAnsi="Arial Black"/>
          <w:sz w:val="144"/>
          <w:szCs w:val="144"/>
        </w:rPr>
      </w:pPr>
      <w:r w:rsidRPr="007C5EA1">
        <w:rPr>
          <w:rFonts w:ascii="Arial Black" w:hAnsi="Arial Black"/>
          <w:sz w:val="144"/>
          <w:szCs w:val="144"/>
        </w:rPr>
        <w:t>Appendix N</w:t>
      </w:r>
    </w:p>
    <w:p w:rsidR="004124FC" w:rsidRPr="007C5EA1" w:rsidRDefault="004124FC" w:rsidP="004124FC">
      <w:pPr>
        <w:jc w:val="center"/>
        <w:rPr>
          <w:rFonts w:ascii="Arial Black" w:hAnsi="Arial Black"/>
          <w:sz w:val="144"/>
          <w:szCs w:val="144"/>
        </w:rPr>
      </w:pPr>
    </w:p>
    <w:p w:rsidR="004124FC" w:rsidRDefault="004124FC" w:rsidP="004124FC">
      <w:pPr>
        <w:pStyle w:val="ListParagraph"/>
        <w:spacing w:line="276" w:lineRule="auto"/>
        <w:ind w:left="0"/>
        <w:jc w:val="center"/>
        <w:rPr>
          <w:rFonts w:ascii="Arial Black" w:hAnsi="Arial Black"/>
          <w:sz w:val="48"/>
          <w:szCs w:val="48"/>
        </w:rPr>
      </w:pPr>
      <w:r w:rsidRPr="001A248F">
        <w:rPr>
          <w:rFonts w:ascii="Arial Black" w:hAnsi="Arial Black"/>
          <w:sz w:val="48"/>
          <w:szCs w:val="48"/>
        </w:rPr>
        <w:t>May 18, 2015 Petition to the Tennessee Supreme Court</w:t>
      </w:r>
    </w:p>
    <w:p w:rsidR="004124FC" w:rsidRDefault="004124FC" w:rsidP="004124FC">
      <w:pPr>
        <w:pStyle w:val="ListParagraph"/>
        <w:spacing w:line="276" w:lineRule="auto"/>
        <w:ind w:left="0"/>
        <w:jc w:val="center"/>
        <w:rPr>
          <w:rFonts w:ascii="Arial Black" w:hAnsi="Arial Black"/>
          <w:sz w:val="48"/>
          <w:szCs w:val="48"/>
        </w:rPr>
      </w:pPr>
    </w:p>
    <w:p w:rsidR="004124FC" w:rsidRDefault="004124FC" w:rsidP="004124FC">
      <w:pPr>
        <w:pStyle w:val="ListParagraph"/>
        <w:spacing w:line="276" w:lineRule="auto"/>
        <w:ind w:left="0"/>
        <w:jc w:val="center"/>
        <w:rPr>
          <w:rFonts w:ascii="Arial Black" w:hAnsi="Arial Black"/>
          <w:sz w:val="48"/>
          <w:szCs w:val="48"/>
        </w:rPr>
      </w:pPr>
    </w:p>
    <w:p w:rsidR="004124FC" w:rsidRDefault="004124FC" w:rsidP="004124FC">
      <w:pPr>
        <w:pStyle w:val="ListParagraph"/>
        <w:spacing w:line="276" w:lineRule="auto"/>
        <w:ind w:left="0"/>
        <w:jc w:val="center"/>
        <w:rPr>
          <w:rFonts w:ascii="Arial Black" w:hAnsi="Arial Black"/>
          <w:sz w:val="48"/>
          <w:szCs w:val="48"/>
        </w:rPr>
      </w:pPr>
    </w:p>
    <w:p w:rsidR="004124FC" w:rsidRDefault="004124FC" w:rsidP="004124FC">
      <w:pPr>
        <w:pStyle w:val="ListParagraph"/>
        <w:spacing w:line="276" w:lineRule="auto"/>
        <w:ind w:left="0"/>
        <w:jc w:val="center"/>
        <w:rPr>
          <w:rFonts w:ascii="Arial Black" w:hAnsi="Arial Black"/>
          <w:sz w:val="48"/>
          <w:szCs w:val="48"/>
        </w:rPr>
      </w:pPr>
    </w:p>
    <w:p w:rsidR="004124FC" w:rsidRDefault="004124FC" w:rsidP="004124FC">
      <w:pPr>
        <w:pStyle w:val="ListParagraph"/>
        <w:spacing w:line="276" w:lineRule="auto"/>
        <w:ind w:left="0"/>
        <w:jc w:val="center"/>
        <w:rPr>
          <w:rFonts w:ascii="Arial Black" w:hAnsi="Arial Black"/>
          <w:sz w:val="48"/>
          <w:szCs w:val="48"/>
        </w:rPr>
      </w:pPr>
    </w:p>
    <w:p w:rsidR="004124FC" w:rsidRDefault="004124FC" w:rsidP="004124FC">
      <w:pPr>
        <w:pStyle w:val="ListParagraph"/>
        <w:spacing w:line="276" w:lineRule="auto"/>
        <w:ind w:left="0"/>
        <w:jc w:val="center"/>
        <w:rPr>
          <w:rFonts w:ascii="Arial Black" w:hAnsi="Arial Black"/>
          <w:sz w:val="48"/>
          <w:szCs w:val="48"/>
        </w:rPr>
      </w:pPr>
    </w:p>
    <w:p w:rsidR="004124FC" w:rsidRDefault="004124FC" w:rsidP="004124FC">
      <w:pPr>
        <w:pStyle w:val="ListParagraph"/>
        <w:spacing w:line="276" w:lineRule="auto"/>
        <w:ind w:left="0"/>
        <w:jc w:val="center"/>
        <w:rPr>
          <w:rFonts w:ascii="Arial Black" w:hAnsi="Arial Black"/>
          <w:sz w:val="48"/>
          <w:szCs w:val="48"/>
        </w:rPr>
      </w:pPr>
    </w:p>
    <w:p w:rsidR="004124FC" w:rsidRDefault="004124FC" w:rsidP="004124FC">
      <w:pPr>
        <w:pStyle w:val="ListParagraph"/>
        <w:spacing w:line="276" w:lineRule="auto"/>
        <w:ind w:left="0"/>
        <w:jc w:val="center"/>
        <w:rPr>
          <w:rFonts w:ascii="Arial Black" w:hAnsi="Arial Black"/>
          <w:sz w:val="48"/>
          <w:szCs w:val="48"/>
        </w:rPr>
      </w:pPr>
    </w:p>
    <w:p w:rsidR="004124FC" w:rsidRDefault="004124FC" w:rsidP="004124FC">
      <w:pPr>
        <w:jc w:val="center"/>
        <w:rPr>
          <w:rFonts w:ascii="Arial Black" w:hAnsi="Arial Black"/>
          <w:sz w:val="32"/>
          <w:szCs w:val="32"/>
        </w:rPr>
      </w:pPr>
    </w:p>
    <w:p w:rsidR="004124FC" w:rsidRDefault="004124FC" w:rsidP="004124FC">
      <w:pPr>
        <w:jc w:val="center"/>
        <w:rPr>
          <w:rFonts w:ascii="Arial Black" w:hAnsi="Arial Black"/>
          <w:sz w:val="32"/>
          <w:szCs w:val="32"/>
        </w:rPr>
      </w:pPr>
    </w:p>
    <w:p w:rsidR="004124FC" w:rsidRDefault="004124FC" w:rsidP="004124FC">
      <w:pPr>
        <w:jc w:val="center"/>
        <w:rPr>
          <w:rFonts w:ascii="Arial Black" w:hAnsi="Arial Black"/>
          <w:sz w:val="144"/>
          <w:szCs w:val="144"/>
        </w:rPr>
      </w:pPr>
      <w:r w:rsidRPr="007C5EA1">
        <w:rPr>
          <w:rFonts w:ascii="Arial Black" w:hAnsi="Arial Black"/>
          <w:sz w:val="144"/>
          <w:szCs w:val="144"/>
        </w:rPr>
        <w:t xml:space="preserve">Appendix </w:t>
      </w:r>
      <w:r>
        <w:rPr>
          <w:rFonts w:ascii="Arial Black" w:hAnsi="Arial Black"/>
          <w:sz w:val="144"/>
          <w:szCs w:val="144"/>
        </w:rPr>
        <w:t>O</w:t>
      </w:r>
    </w:p>
    <w:p w:rsidR="004124FC" w:rsidRPr="007C5EA1" w:rsidRDefault="004124FC" w:rsidP="004124FC">
      <w:pPr>
        <w:jc w:val="center"/>
        <w:rPr>
          <w:rFonts w:ascii="Arial Black" w:hAnsi="Arial Black"/>
          <w:sz w:val="144"/>
          <w:szCs w:val="144"/>
        </w:rPr>
      </w:pPr>
    </w:p>
    <w:p w:rsidR="004124FC" w:rsidRPr="00A07DD2" w:rsidRDefault="004124FC" w:rsidP="004124FC">
      <w:pPr>
        <w:pStyle w:val="ListParagraph"/>
        <w:spacing w:line="276" w:lineRule="auto"/>
        <w:ind w:left="0"/>
        <w:jc w:val="center"/>
        <w:rPr>
          <w:sz w:val="24"/>
          <w:szCs w:val="24"/>
        </w:rPr>
      </w:pPr>
      <w:r w:rsidRPr="00C93C52">
        <w:rPr>
          <w:rFonts w:ascii="Arial Black" w:hAnsi="Arial Black"/>
          <w:i/>
          <w:sz w:val="48"/>
          <w:szCs w:val="48"/>
        </w:rPr>
        <w:t>Glossip v. Oklahoma</w:t>
      </w:r>
      <w:r>
        <w:rPr>
          <w:rFonts w:ascii="Arial Black" w:hAnsi="Arial Black"/>
          <w:sz w:val="48"/>
          <w:szCs w:val="48"/>
        </w:rPr>
        <w:t>, 145 S.Ct</w:t>
      </w:r>
      <w:bookmarkStart w:id="1" w:name="_GoBack"/>
      <w:bookmarkEnd w:id="1"/>
      <w:r>
        <w:rPr>
          <w:rFonts w:ascii="Arial Black" w:hAnsi="Arial Black"/>
          <w:sz w:val="48"/>
          <w:szCs w:val="48"/>
        </w:rPr>
        <w:t>. 612 (February 25, 2025)</w:t>
      </w:r>
    </w:p>
    <w:p w:rsidR="001C6EC7" w:rsidRPr="001C6EC7" w:rsidRDefault="001C6EC7" w:rsidP="004124FC">
      <w:pPr>
        <w:jc w:val="center"/>
        <w:rPr>
          <w:rFonts w:ascii="Arial Black" w:hAnsi="Arial Black"/>
          <w:sz w:val="72"/>
          <w:szCs w:val="72"/>
        </w:rPr>
      </w:pPr>
    </w:p>
    <w:sectPr w:rsidR="001C6EC7" w:rsidRPr="001C6E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EC7"/>
    <w:rsid w:val="001A248F"/>
    <w:rsid w:val="001C6EC7"/>
    <w:rsid w:val="004124FC"/>
    <w:rsid w:val="007C5EA1"/>
    <w:rsid w:val="00835616"/>
    <w:rsid w:val="009223E4"/>
    <w:rsid w:val="00AE3095"/>
    <w:rsid w:val="00C05C77"/>
    <w:rsid w:val="00C87DAD"/>
    <w:rsid w:val="00CB2084"/>
    <w:rsid w:val="00DA1979"/>
    <w:rsid w:val="00DA2B4C"/>
    <w:rsid w:val="00DC74A8"/>
    <w:rsid w:val="00FA4FED"/>
    <w:rsid w:val="00FC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5A3848"/>
  <w15:chartTrackingRefBased/>
  <w15:docId w15:val="{C2513F60-0CAC-469F-AD11-A834E2CBC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A1979"/>
  </w:style>
  <w:style w:type="paragraph" w:styleId="Heading1">
    <w:name w:val="heading 1"/>
    <w:basedOn w:val="Normal"/>
    <w:next w:val="Normal"/>
    <w:link w:val="Heading1Char"/>
    <w:qFormat/>
    <w:rsid w:val="00DA1979"/>
    <w:pPr>
      <w:keepNext/>
      <w:jc w:val="center"/>
      <w:outlineLvl w:val="0"/>
    </w:pPr>
    <w:rPr>
      <w:b/>
      <w:bCs/>
      <w:sz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DA1979"/>
    <w:pPr>
      <w:keepNext/>
      <w:ind w:left="360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DA1979"/>
    <w:pPr>
      <w:keepNext/>
      <w:ind w:firstLine="720"/>
      <w:outlineLvl w:val="2"/>
    </w:pPr>
    <w:rPr>
      <w:rFonts w:ascii="Times" w:hAnsi="Times"/>
      <w:sz w:val="24"/>
    </w:rPr>
  </w:style>
  <w:style w:type="paragraph" w:styleId="Heading4">
    <w:name w:val="heading 4"/>
    <w:basedOn w:val="Normal"/>
    <w:next w:val="Normal"/>
    <w:link w:val="Heading4Char"/>
    <w:qFormat/>
    <w:rsid w:val="00DA1979"/>
    <w:pPr>
      <w:keepNext/>
      <w:outlineLvl w:val="3"/>
    </w:pPr>
    <w:rPr>
      <w:rFonts w:ascii="Times" w:hAnsi="Times"/>
      <w:sz w:val="24"/>
    </w:rPr>
  </w:style>
  <w:style w:type="paragraph" w:styleId="Heading5">
    <w:name w:val="heading 5"/>
    <w:basedOn w:val="Normal"/>
    <w:next w:val="Normal"/>
    <w:link w:val="Heading5Char"/>
    <w:qFormat/>
    <w:rsid w:val="00DA1979"/>
    <w:pPr>
      <w:keepNext/>
      <w:jc w:val="both"/>
      <w:outlineLvl w:val="4"/>
    </w:pPr>
    <w:rPr>
      <w:rFonts w:ascii="Times" w:hAnsi="Time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1979"/>
    <w:rPr>
      <w:b/>
      <w:bCs/>
      <w:sz w:val="26"/>
      <w:u w:val="single"/>
    </w:rPr>
  </w:style>
  <w:style w:type="character" w:customStyle="1" w:styleId="Heading2Char">
    <w:name w:val="Heading 2 Char"/>
    <w:basedOn w:val="DefaultParagraphFont"/>
    <w:link w:val="Heading2"/>
    <w:rsid w:val="00DA1979"/>
    <w:rPr>
      <w:sz w:val="24"/>
    </w:rPr>
  </w:style>
  <w:style w:type="character" w:customStyle="1" w:styleId="Heading3Char">
    <w:name w:val="Heading 3 Char"/>
    <w:basedOn w:val="DefaultParagraphFont"/>
    <w:link w:val="Heading3"/>
    <w:rsid w:val="00DA1979"/>
    <w:rPr>
      <w:rFonts w:ascii="Times" w:hAnsi="Times"/>
      <w:sz w:val="24"/>
    </w:rPr>
  </w:style>
  <w:style w:type="character" w:customStyle="1" w:styleId="Heading4Char">
    <w:name w:val="Heading 4 Char"/>
    <w:basedOn w:val="DefaultParagraphFont"/>
    <w:link w:val="Heading4"/>
    <w:rsid w:val="00DA1979"/>
    <w:rPr>
      <w:rFonts w:ascii="Times" w:hAnsi="Times"/>
      <w:sz w:val="24"/>
    </w:rPr>
  </w:style>
  <w:style w:type="character" w:customStyle="1" w:styleId="Heading5Char">
    <w:name w:val="Heading 5 Char"/>
    <w:basedOn w:val="DefaultParagraphFont"/>
    <w:link w:val="Heading5"/>
    <w:rsid w:val="00DA1979"/>
    <w:rPr>
      <w:rFonts w:ascii="Times" w:hAnsi="Times"/>
      <w:sz w:val="24"/>
    </w:rPr>
  </w:style>
  <w:style w:type="paragraph" w:styleId="Title">
    <w:name w:val="Title"/>
    <w:basedOn w:val="Normal"/>
    <w:link w:val="TitleChar"/>
    <w:qFormat/>
    <w:rsid w:val="00DA1979"/>
    <w:pPr>
      <w:jc w:val="center"/>
    </w:pPr>
    <w:rPr>
      <w:sz w:val="26"/>
    </w:rPr>
  </w:style>
  <w:style w:type="character" w:customStyle="1" w:styleId="TitleChar">
    <w:name w:val="Title Char"/>
    <w:basedOn w:val="DefaultParagraphFont"/>
    <w:link w:val="Title"/>
    <w:rsid w:val="00DA1979"/>
    <w:rPr>
      <w:sz w:val="26"/>
    </w:rPr>
  </w:style>
  <w:style w:type="paragraph" w:styleId="Subtitle">
    <w:name w:val="Subtitle"/>
    <w:basedOn w:val="Normal"/>
    <w:link w:val="SubtitleChar"/>
    <w:qFormat/>
    <w:rsid w:val="00DA1979"/>
    <w:pPr>
      <w:jc w:val="center"/>
    </w:pPr>
    <w:rPr>
      <w:rFonts w:ascii="Times" w:hAnsi="Times"/>
      <w:sz w:val="24"/>
    </w:rPr>
  </w:style>
  <w:style w:type="character" w:customStyle="1" w:styleId="SubtitleChar">
    <w:name w:val="Subtitle Char"/>
    <w:basedOn w:val="DefaultParagraphFont"/>
    <w:link w:val="Subtitle"/>
    <w:rsid w:val="00DA1979"/>
    <w:rPr>
      <w:rFonts w:ascii="Times" w:hAnsi="Times"/>
      <w:sz w:val="24"/>
    </w:rPr>
  </w:style>
  <w:style w:type="paragraph" w:styleId="ListParagraph">
    <w:name w:val="List Paragraph"/>
    <w:basedOn w:val="Normal"/>
    <w:uiPriority w:val="34"/>
    <w:qFormat/>
    <w:rsid w:val="004124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Inmate</dc:creator>
  <cp:keywords/>
  <dc:description/>
  <cp:lastModifiedBy>Inmate</cp:lastModifiedBy>
  <cp:revision>2</cp:revision>
  <dcterms:created xsi:type="dcterms:W3CDTF">2025-08-01T18:11:00Z</dcterms:created>
  <dcterms:modified xsi:type="dcterms:W3CDTF">2025-08-01T18:11:00Z</dcterms:modified>
</cp:coreProperties>
</file>